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36E660" w14:textId="77777777" w:rsidR="0047783A" w:rsidRPr="001A2BC4" w:rsidRDefault="0047783A" w:rsidP="001A2BC4">
      <w:pPr>
        <w:pStyle w:val="Ttulo1"/>
      </w:pPr>
      <w:bookmarkStart w:id="0" w:name="_Toc42488069"/>
      <w:r>
        <w:t>A.</w:t>
      </w:r>
      <w:r>
        <w:tab/>
        <w:t>INSTRUCCIONES PARA LOS LICITADORES</w:t>
      </w:r>
      <w:bookmarkEnd w:id="0"/>
    </w:p>
    <w:p w14:paraId="4730BCA1" w14:textId="43FC5522" w:rsidR="0047783A" w:rsidRPr="00E82463" w:rsidRDefault="0047783A">
      <w:pPr>
        <w:pStyle w:val="Subttulo"/>
        <w:spacing w:after="240"/>
        <w:jc w:val="left"/>
        <w:rPr>
          <w:rFonts w:ascii="Times New Roman" w:hAnsi="Times New Roman"/>
          <w:szCs w:val="28"/>
        </w:rPr>
      </w:pPr>
      <w:r>
        <w:rPr>
          <w:rFonts w:ascii="Times New Roman" w:hAnsi="Times New Roman"/>
          <w:szCs w:val="28"/>
        </w:rPr>
        <w:t xml:space="preserve">REFERENCIA DE PUBLICACIÓN: </w:t>
      </w:r>
      <w:r w:rsidR="00617DA1" w:rsidRPr="001B1182">
        <w:rPr>
          <w:rFonts w:ascii="Times New Roman" w:hAnsi="Times New Roman"/>
          <w:sz w:val="22"/>
          <w:szCs w:val="22"/>
        </w:rPr>
        <w:t>NDICI LA/2022/439-772-- OPSYS PC-23337 FAA</w:t>
      </w:r>
    </w:p>
    <w:p w14:paraId="33C13877" w14:textId="77777777" w:rsidR="0047783A" w:rsidRPr="00E82463" w:rsidRDefault="00121DE4">
      <w:pPr>
        <w:pStyle w:val="Subttulo"/>
        <w:spacing w:before="0" w:after="240"/>
        <w:jc w:val="both"/>
        <w:rPr>
          <w:rFonts w:ascii="Times New Roman" w:hAnsi="Times New Roman"/>
          <w:sz w:val="22"/>
        </w:rPr>
      </w:pPr>
      <w:r>
        <w:rPr>
          <w:rFonts w:ascii="Times New Roman" w:hAnsi="Times New Roman"/>
          <w:sz w:val="22"/>
        </w:rPr>
        <w:t>Al presentar su oferta, los licitadores aceptan íntegramente y sin reserva alguna las Condiciones Generales y Particulares aplicables al contrato, como única base de este procedimiento de licitación, cualesquiera que sean sus propias condiciones de venta, a las que renuncian. Los licitadores deberán examinar atentamente todas las instrucciones, formularios, disposiciones contractuales y especificaciones de este expediente de licitación y atenerse a ellos. Se desestimarán las ofertas para las que el licitador no haya presentado dentro del plazo establecido toda la información y documentación requeridas. No se tendrá en cuenta ninguna observación expresada en la oferta con respecto al expediente de licitación; toda observación podrá dar lugar a la desestimación inmediata de la oferta, que no pasará a las fases siguientes de evaluación.</w:t>
      </w:r>
    </w:p>
    <w:p w14:paraId="16A00E1E" w14:textId="2D17BC94" w:rsidR="00DA4D57" w:rsidRPr="00640E38" w:rsidRDefault="0047783A" w:rsidP="003051AA">
      <w:pPr>
        <w:pStyle w:val="Subttulo"/>
        <w:spacing w:before="0" w:after="0"/>
        <w:jc w:val="both"/>
        <w:rPr>
          <w:rFonts w:ascii="Times New Roman" w:hAnsi="Times New Roman"/>
          <w:sz w:val="22"/>
          <w:szCs w:val="22"/>
        </w:rPr>
      </w:pPr>
      <w:r>
        <w:rPr>
          <w:rFonts w:ascii="Times New Roman" w:hAnsi="Times New Roman"/>
          <w:sz w:val="22"/>
          <w:szCs w:val="22"/>
        </w:rPr>
        <w:t xml:space="preserve">En las presentes instrucciones se establecen las normas de presentación, selección y ejecución de los contratos financiadas dentro del marco de la presente licitación, de acuerdo con la Guía Práctica (disponible en internet en la dirección siguiente: </w:t>
      </w:r>
      <w:hyperlink r:id="rId8" w:history="1">
        <w:r w:rsidR="00E55643" w:rsidRPr="00376A55">
          <w:rPr>
            <w:rStyle w:val="Hipervnculo"/>
            <w:rFonts w:ascii="Times New Roman" w:hAnsi="Times New Roman"/>
            <w:sz w:val="22"/>
            <w:szCs w:val="22"/>
          </w:rPr>
          <w:t>https://wikis.ec.europa.eu/display/ExactExternalWikiES/ePRAG</w:t>
        </w:r>
      </w:hyperlink>
      <w:r w:rsidR="00E55643" w:rsidRPr="00376A55">
        <w:rPr>
          <w:rFonts w:ascii="Times New Roman" w:hAnsi="Times New Roman"/>
          <w:sz w:val="22"/>
          <w:szCs w:val="22"/>
        </w:rPr>
        <w:t xml:space="preserve"> </w:t>
      </w:r>
      <w:r>
        <w:rPr>
          <w:rFonts w:ascii="Times New Roman" w:hAnsi="Times New Roman"/>
          <w:sz w:val="22"/>
          <w:szCs w:val="22"/>
        </w:rPr>
        <w:t>).</w:t>
      </w:r>
    </w:p>
    <w:p w14:paraId="5CFB45BA" w14:textId="0FB87B78" w:rsidR="0047783A" w:rsidRPr="001A2BC4" w:rsidRDefault="00A633C6" w:rsidP="009956B4">
      <w:pPr>
        <w:pStyle w:val="Ttulo1"/>
      </w:pPr>
      <w:bookmarkStart w:id="1" w:name="_Toc42488070"/>
      <w:r>
        <w:t>1. Suministros que se proveerán</w:t>
      </w:r>
      <w:bookmarkEnd w:id="1"/>
    </w:p>
    <w:p w14:paraId="2EAEE203" w14:textId="77777777" w:rsidR="00C7322E" w:rsidRDefault="0047783A" w:rsidP="00DF7A40">
      <w:pPr>
        <w:pStyle w:val="Ttulo2"/>
        <w:keepNext w:val="0"/>
        <w:ind w:left="567" w:hanging="567"/>
        <w:jc w:val="both"/>
        <w:rPr>
          <w:rFonts w:ascii="Times New Roman" w:hAnsi="Times New Roman"/>
          <w:sz w:val="22"/>
        </w:rPr>
      </w:pPr>
      <w:r>
        <w:rPr>
          <w:rFonts w:ascii="Times New Roman" w:hAnsi="Times New Roman"/>
          <w:sz w:val="22"/>
        </w:rPr>
        <w:t>1.1</w:t>
      </w:r>
      <w:r>
        <w:rPr>
          <w:rFonts w:ascii="Times New Roman" w:hAnsi="Times New Roman"/>
          <w:sz w:val="22"/>
        </w:rPr>
        <w:tab/>
        <w:t>El objeto del contrato es</w:t>
      </w:r>
    </w:p>
    <w:p w14:paraId="1D2AE786" w14:textId="530A836D" w:rsidR="00C7322E" w:rsidRPr="0042695A" w:rsidRDefault="00EF458D" w:rsidP="0042695A">
      <w:pPr>
        <w:spacing w:before="0" w:after="0"/>
        <w:ind w:left="709" w:hanging="142"/>
        <w:jc w:val="both"/>
        <w:rPr>
          <w:highlight w:val="yellow"/>
        </w:rPr>
      </w:pPr>
      <w:r>
        <w:rPr>
          <w:rFonts w:ascii="Times New Roman" w:hAnsi="Times New Roman"/>
          <w:sz w:val="22"/>
        </w:rPr>
        <w:t>Adquisición de vehículos</w:t>
      </w:r>
      <w:r w:rsidR="00C7322E">
        <w:rPr>
          <w:rFonts w:ascii="Times New Roman" w:hAnsi="Times New Roman"/>
          <w:sz w:val="22"/>
        </w:rPr>
        <w:t>:</w:t>
      </w:r>
    </w:p>
    <w:p w14:paraId="51D52969" w14:textId="77777777" w:rsidR="000B30B5" w:rsidRDefault="00EF458D" w:rsidP="00E82463">
      <w:pPr>
        <w:ind w:left="567"/>
        <w:jc w:val="both"/>
        <w:rPr>
          <w:rFonts w:ascii="Times New Roman" w:hAnsi="Times New Roman"/>
          <w:sz w:val="22"/>
        </w:rPr>
      </w:pPr>
      <w:r>
        <w:rPr>
          <w:rFonts w:ascii="Times New Roman" w:hAnsi="Times New Roman"/>
          <w:sz w:val="22"/>
        </w:rPr>
        <w:t>A entregarse en</w:t>
      </w:r>
      <w:r w:rsidR="000B30B5">
        <w:rPr>
          <w:rFonts w:ascii="Times New Roman" w:hAnsi="Times New Roman"/>
          <w:sz w:val="22"/>
        </w:rPr>
        <w:t>:</w:t>
      </w:r>
    </w:p>
    <w:p w14:paraId="7437752F" w14:textId="133BF922" w:rsidR="000B30B5" w:rsidRDefault="000B30B5" w:rsidP="000B30B5">
      <w:pPr>
        <w:rPr>
          <w:rFonts w:ascii="Times New Roman" w:hAnsi="Times New Roman"/>
          <w:sz w:val="22"/>
          <w:szCs w:val="22"/>
        </w:rPr>
      </w:pPr>
      <w:r>
        <w:rPr>
          <w:rFonts w:ascii="Times New Roman" w:hAnsi="Times New Roman"/>
        </w:rPr>
        <w:t xml:space="preserve">              </w:t>
      </w:r>
      <w:r w:rsidRPr="000B30B5">
        <w:rPr>
          <w:rFonts w:ascii="Times New Roman" w:hAnsi="Times New Roman"/>
          <w:sz w:val="22"/>
          <w:szCs w:val="22"/>
        </w:rPr>
        <w:t>FUNDACIÓN PRONORTE</w:t>
      </w:r>
      <w:r>
        <w:rPr>
          <w:rFonts w:ascii="Times New Roman" w:hAnsi="Times New Roman"/>
          <w:sz w:val="22"/>
          <w:szCs w:val="22"/>
        </w:rPr>
        <w:t xml:space="preserve">: </w:t>
      </w:r>
    </w:p>
    <w:p w14:paraId="05193BA9" w14:textId="65846D77" w:rsidR="000B30B5" w:rsidRDefault="000B30B5" w:rsidP="000B30B5">
      <w:r>
        <w:rPr>
          <w:rFonts w:ascii="Times New Roman" w:hAnsi="Times New Roman"/>
          <w:sz w:val="22"/>
          <w:szCs w:val="22"/>
        </w:rPr>
        <w:t xml:space="preserve">             </w:t>
      </w:r>
      <w:r w:rsidRPr="0018101E">
        <w:t>La Florida N° 711</w:t>
      </w:r>
    </w:p>
    <w:p w14:paraId="680A051C" w14:textId="1DD82075" w:rsidR="000B30B5" w:rsidRDefault="000B30B5" w:rsidP="000B30B5">
      <w:r>
        <w:t xml:space="preserve">             </w:t>
      </w:r>
      <w:r w:rsidRPr="0018101E">
        <w:t xml:space="preserve">Salta Capital </w:t>
      </w:r>
    </w:p>
    <w:p w14:paraId="6372F968" w14:textId="3AA71CF0" w:rsidR="000B30B5" w:rsidRDefault="000B30B5" w:rsidP="000B30B5">
      <w:r>
        <w:t xml:space="preserve">             Código postal: </w:t>
      </w:r>
      <w:r w:rsidRPr="0018101E">
        <w:t>4400</w:t>
      </w:r>
    </w:p>
    <w:p w14:paraId="387E743B" w14:textId="4D93F2DB" w:rsidR="000B30B5" w:rsidRDefault="000B30B5" w:rsidP="000B30B5"/>
    <w:p w14:paraId="167E2D02" w14:textId="448DE6E0" w:rsidR="000B30B5" w:rsidRPr="000B30B5" w:rsidRDefault="000B30B5" w:rsidP="000B30B5">
      <w:pPr>
        <w:pStyle w:val="Prrafodelista"/>
        <w:tabs>
          <w:tab w:val="left" w:pos="-2694"/>
          <w:tab w:val="left" w:pos="-1440"/>
        </w:tabs>
        <w:spacing w:before="120" w:after="120"/>
        <w:contextualSpacing/>
        <w:rPr>
          <w:rFonts w:ascii="Times New Roman" w:hAnsi="Times New Roman"/>
        </w:rPr>
      </w:pPr>
      <w:r w:rsidRPr="000B30B5">
        <w:rPr>
          <w:rFonts w:ascii="Times New Roman" w:hAnsi="Times New Roman"/>
        </w:rPr>
        <w:t xml:space="preserve">PROYUNGAS: FUNDACIÓN PARA EL DESARROLLO DE LA CONSERVACIÓN DE LAS SELVAS SUBTROPICALES DE MONTAÑAS </w:t>
      </w:r>
    </w:p>
    <w:p w14:paraId="12DF08A7" w14:textId="7E6C1720" w:rsidR="000B30B5" w:rsidRPr="000B30B5" w:rsidRDefault="000B30B5" w:rsidP="000B30B5">
      <w:pPr>
        <w:pStyle w:val="Prrafodelista"/>
        <w:tabs>
          <w:tab w:val="left" w:pos="-2694"/>
          <w:tab w:val="left" w:pos="-1440"/>
        </w:tabs>
        <w:spacing w:before="120" w:after="120"/>
        <w:contextualSpacing/>
        <w:rPr>
          <w:rFonts w:ascii="Times New Roman" w:hAnsi="Times New Roman"/>
        </w:rPr>
      </w:pPr>
    </w:p>
    <w:p w14:paraId="47A44549" w14:textId="77777777" w:rsidR="000B30B5" w:rsidRPr="000B30B5" w:rsidRDefault="000B30B5" w:rsidP="000B30B5">
      <w:pPr>
        <w:ind w:firstLine="708"/>
        <w:rPr>
          <w:rFonts w:ascii="Times New Roman" w:hAnsi="Times New Roman"/>
          <w:sz w:val="22"/>
          <w:szCs w:val="22"/>
        </w:rPr>
      </w:pPr>
      <w:r w:rsidRPr="000B30B5">
        <w:rPr>
          <w:rFonts w:ascii="Times New Roman" w:hAnsi="Times New Roman"/>
          <w:sz w:val="22"/>
          <w:szCs w:val="22"/>
        </w:rPr>
        <w:t xml:space="preserve">Perú 1180 </w:t>
      </w:r>
    </w:p>
    <w:p w14:paraId="0402D3DF" w14:textId="77777777" w:rsidR="000B30B5" w:rsidRPr="000B30B5" w:rsidRDefault="000B30B5" w:rsidP="000B30B5">
      <w:pPr>
        <w:ind w:firstLine="708"/>
        <w:rPr>
          <w:rFonts w:ascii="Times New Roman" w:hAnsi="Times New Roman"/>
          <w:sz w:val="22"/>
          <w:szCs w:val="22"/>
        </w:rPr>
      </w:pPr>
      <w:r w:rsidRPr="000B30B5">
        <w:rPr>
          <w:rFonts w:ascii="Times New Roman" w:hAnsi="Times New Roman"/>
          <w:sz w:val="22"/>
          <w:szCs w:val="22"/>
        </w:rPr>
        <w:t>Yerba Buena. Tucumán</w:t>
      </w:r>
    </w:p>
    <w:p w14:paraId="7B86B706" w14:textId="77777777" w:rsidR="000B30B5" w:rsidRPr="000B30B5" w:rsidRDefault="000B30B5" w:rsidP="000B30B5">
      <w:pPr>
        <w:ind w:firstLine="708"/>
        <w:rPr>
          <w:rFonts w:ascii="Times New Roman" w:hAnsi="Times New Roman"/>
          <w:sz w:val="22"/>
          <w:szCs w:val="22"/>
        </w:rPr>
      </w:pPr>
      <w:r w:rsidRPr="000B30B5">
        <w:rPr>
          <w:rFonts w:ascii="Times New Roman" w:hAnsi="Times New Roman"/>
          <w:sz w:val="22"/>
          <w:szCs w:val="22"/>
        </w:rPr>
        <w:t>Código postal: 4107</w:t>
      </w:r>
    </w:p>
    <w:p w14:paraId="2A699455" w14:textId="77777777" w:rsidR="000B30B5" w:rsidRPr="000B30B5" w:rsidRDefault="000B30B5" w:rsidP="000B30B5">
      <w:pPr>
        <w:pStyle w:val="Prrafodelista"/>
        <w:tabs>
          <w:tab w:val="left" w:pos="-2694"/>
          <w:tab w:val="left" w:pos="-1440"/>
        </w:tabs>
        <w:spacing w:before="120" w:after="120"/>
        <w:contextualSpacing/>
        <w:rPr>
          <w:rFonts w:ascii="Times New Roman" w:hAnsi="Times New Roman"/>
        </w:rPr>
      </w:pPr>
    </w:p>
    <w:p w14:paraId="5B41B000" w14:textId="2642E2F5" w:rsidR="000B30B5" w:rsidRPr="000B30B5" w:rsidRDefault="000B30B5" w:rsidP="000B30B5">
      <w:pPr>
        <w:pStyle w:val="Prrafodelista"/>
        <w:tabs>
          <w:tab w:val="left" w:pos="-2694"/>
          <w:tab w:val="left" w:pos="-1440"/>
        </w:tabs>
        <w:spacing w:before="120" w:after="120"/>
        <w:contextualSpacing/>
        <w:rPr>
          <w:rFonts w:ascii="Times New Roman" w:hAnsi="Times New Roman"/>
        </w:rPr>
      </w:pPr>
      <w:r w:rsidRPr="000B30B5">
        <w:rPr>
          <w:rFonts w:ascii="Times New Roman" w:hAnsi="Times New Roman"/>
        </w:rPr>
        <w:t xml:space="preserve">ASOCIACION CIVIL FRANCISCANA PATA PILA  </w:t>
      </w:r>
    </w:p>
    <w:p w14:paraId="6F0995A3" w14:textId="7AEBD63B" w:rsidR="000B30B5" w:rsidRPr="000B30B5" w:rsidRDefault="000B30B5" w:rsidP="000B30B5">
      <w:pPr>
        <w:pStyle w:val="Prrafodelista"/>
        <w:tabs>
          <w:tab w:val="left" w:pos="-2694"/>
          <w:tab w:val="left" w:pos="-1440"/>
        </w:tabs>
        <w:spacing w:before="120" w:after="120"/>
        <w:contextualSpacing/>
        <w:rPr>
          <w:rFonts w:ascii="Times New Roman" w:hAnsi="Times New Roman"/>
        </w:rPr>
      </w:pPr>
    </w:p>
    <w:p w14:paraId="0BB394D7" w14:textId="5E63906F" w:rsidR="000B30B5" w:rsidRPr="000B30B5" w:rsidRDefault="000B30B5" w:rsidP="000B30B5">
      <w:pPr>
        <w:rPr>
          <w:rFonts w:ascii="Times New Roman" w:hAnsi="Times New Roman"/>
          <w:sz w:val="22"/>
          <w:szCs w:val="22"/>
        </w:rPr>
      </w:pPr>
      <w:r w:rsidRPr="000B30B5">
        <w:rPr>
          <w:rFonts w:ascii="Times New Roman" w:hAnsi="Times New Roman"/>
          <w:sz w:val="22"/>
          <w:szCs w:val="22"/>
        </w:rPr>
        <w:t xml:space="preserve">             Esquina pasaje </w:t>
      </w:r>
      <w:proofErr w:type="spellStart"/>
      <w:r w:rsidRPr="000B30B5">
        <w:rPr>
          <w:rFonts w:ascii="Times New Roman" w:hAnsi="Times New Roman"/>
          <w:sz w:val="22"/>
          <w:szCs w:val="22"/>
        </w:rPr>
        <w:t>Ituzaingo</w:t>
      </w:r>
      <w:proofErr w:type="spellEnd"/>
      <w:r w:rsidRPr="000B30B5">
        <w:rPr>
          <w:rFonts w:ascii="Times New Roman" w:hAnsi="Times New Roman"/>
          <w:sz w:val="22"/>
          <w:szCs w:val="22"/>
        </w:rPr>
        <w:t xml:space="preserve"> y 12 de octubre </w:t>
      </w:r>
    </w:p>
    <w:p w14:paraId="0361A03A" w14:textId="77777777" w:rsidR="000B30B5" w:rsidRPr="000B30B5" w:rsidRDefault="000B30B5" w:rsidP="000B30B5">
      <w:pPr>
        <w:rPr>
          <w:rFonts w:ascii="Times New Roman" w:hAnsi="Times New Roman"/>
          <w:sz w:val="22"/>
          <w:szCs w:val="22"/>
        </w:rPr>
      </w:pPr>
      <w:r w:rsidRPr="000B30B5">
        <w:rPr>
          <w:rFonts w:ascii="Times New Roman" w:hAnsi="Times New Roman"/>
          <w:sz w:val="22"/>
          <w:szCs w:val="22"/>
        </w:rPr>
        <w:tab/>
      </w:r>
      <w:proofErr w:type="spellStart"/>
      <w:r w:rsidRPr="000B30B5">
        <w:rPr>
          <w:rFonts w:ascii="Times New Roman" w:hAnsi="Times New Roman"/>
          <w:sz w:val="22"/>
          <w:szCs w:val="22"/>
        </w:rPr>
        <w:t>Tartagal</w:t>
      </w:r>
      <w:proofErr w:type="spellEnd"/>
      <w:r w:rsidRPr="000B30B5">
        <w:rPr>
          <w:rFonts w:ascii="Times New Roman" w:hAnsi="Times New Roman"/>
          <w:sz w:val="22"/>
          <w:szCs w:val="22"/>
        </w:rPr>
        <w:t>, Salta</w:t>
      </w:r>
    </w:p>
    <w:p w14:paraId="534C7350" w14:textId="77777777" w:rsidR="000B30B5" w:rsidRPr="000B30B5" w:rsidRDefault="000B30B5" w:rsidP="000B30B5">
      <w:pPr>
        <w:ind w:firstLine="708"/>
        <w:rPr>
          <w:rFonts w:ascii="Times New Roman" w:hAnsi="Times New Roman"/>
          <w:sz w:val="22"/>
          <w:szCs w:val="22"/>
        </w:rPr>
      </w:pPr>
      <w:r w:rsidRPr="000B30B5">
        <w:rPr>
          <w:rFonts w:ascii="Times New Roman" w:hAnsi="Times New Roman"/>
          <w:sz w:val="22"/>
          <w:szCs w:val="22"/>
        </w:rPr>
        <w:t>Código postal: 4562</w:t>
      </w:r>
    </w:p>
    <w:p w14:paraId="448688F9" w14:textId="5629A80A" w:rsidR="000B30B5" w:rsidRPr="000B30B5" w:rsidRDefault="000B30B5" w:rsidP="000B30B5">
      <w:pPr>
        <w:pStyle w:val="Prrafodelista"/>
        <w:tabs>
          <w:tab w:val="left" w:pos="-2694"/>
          <w:tab w:val="left" w:pos="-1440"/>
        </w:tabs>
        <w:spacing w:before="120" w:after="120"/>
        <w:contextualSpacing/>
        <w:rPr>
          <w:rFonts w:ascii="Times New Roman" w:hAnsi="Times New Roman"/>
        </w:rPr>
      </w:pPr>
    </w:p>
    <w:p w14:paraId="17205F14" w14:textId="10B96F54" w:rsidR="000B30B5" w:rsidRPr="000B30B5" w:rsidRDefault="000B30B5" w:rsidP="000B30B5">
      <w:pPr>
        <w:pStyle w:val="Prrafodelista"/>
        <w:tabs>
          <w:tab w:val="left" w:pos="-2694"/>
          <w:tab w:val="left" w:pos="-1440"/>
        </w:tabs>
        <w:spacing w:before="120" w:after="120"/>
        <w:contextualSpacing/>
        <w:rPr>
          <w:rFonts w:ascii="Times New Roman" w:hAnsi="Times New Roman"/>
        </w:rPr>
      </w:pPr>
      <w:r w:rsidRPr="000B30B5">
        <w:rPr>
          <w:rFonts w:ascii="Times New Roman" w:hAnsi="Times New Roman"/>
        </w:rPr>
        <w:t>FUNDACIÓN GRAN CHACO</w:t>
      </w:r>
    </w:p>
    <w:p w14:paraId="34F09187" w14:textId="176F3A36" w:rsidR="000B30B5" w:rsidRPr="000B30B5" w:rsidRDefault="000B30B5" w:rsidP="000B30B5">
      <w:pPr>
        <w:pStyle w:val="Prrafodelista"/>
        <w:tabs>
          <w:tab w:val="left" w:pos="-2694"/>
          <w:tab w:val="left" w:pos="-1440"/>
        </w:tabs>
        <w:spacing w:before="120" w:after="120"/>
        <w:contextualSpacing/>
        <w:rPr>
          <w:rFonts w:ascii="Times New Roman" w:hAnsi="Times New Roman"/>
        </w:rPr>
      </w:pPr>
    </w:p>
    <w:p w14:paraId="73FDF778" w14:textId="77777777" w:rsidR="000B30B5" w:rsidRPr="000B30B5" w:rsidRDefault="000B30B5" w:rsidP="000B30B5">
      <w:pPr>
        <w:ind w:firstLine="708"/>
        <w:rPr>
          <w:rFonts w:ascii="Times New Roman" w:hAnsi="Times New Roman"/>
          <w:sz w:val="22"/>
          <w:szCs w:val="22"/>
        </w:rPr>
      </w:pPr>
      <w:r w:rsidRPr="000B30B5">
        <w:rPr>
          <w:rFonts w:ascii="Times New Roman" w:hAnsi="Times New Roman"/>
          <w:sz w:val="22"/>
          <w:szCs w:val="22"/>
        </w:rPr>
        <w:t xml:space="preserve">Saavedra 280 1° Piso A </w:t>
      </w:r>
    </w:p>
    <w:p w14:paraId="710BB465" w14:textId="77777777" w:rsidR="000B30B5" w:rsidRPr="000B30B5" w:rsidRDefault="000B30B5" w:rsidP="000B30B5">
      <w:pPr>
        <w:ind w:firstLine="708"/>
        <w:rPr>
          <w:rFonts w:ascii="Times New Roman" w:hAnsi="Times New Roman"/>
          <w:sz w:val="22"/>
          <w:szCs w:val="22"/>
        </w:rPr>
      </w:pPr>
      <w:r w:rsidRPr="000B30B5">
        <w:rPr>
          <w:rFonts w:ascii="Times New Roman" w:hAnsi="Times New Roman"/>
          <w:sz w:val="22"/>
          <w:szCs w:val="22"/>
        </w:rPr>
        <w:t>Formosa Capital, Formosa</w:t>
      </w:r>
    </w:p>
    <w:p w14:paraId="691485FE" w14:textId="77777777" w:rsidR="000B30B5" w:rsidRPr="000B30B5" w:rsidRDefault="000B30B5" w:rsidP="000B30B5">
      <w:pPr>
        <w:ind w:firstLine="708"/>
        <w:rPr>
          <w:rFonts w:ascii="Times New Roman" w:hAnsi="Times New Roman"/>
          <w:sz w:val="22"/>
          <w:szCs w:val="22"/>
        </w:rPr>
      </w:pPr>
      <w:r w:rsidRPr="000B30B5">
        <w:rPr>
          <w:rFonts w:ascii="Times New Roman" w:hAnsi="Times New Roman"/>
          <w:sz w:val="22"/>
          <w:szCs w:val="22"/>
        </w:rPr>
        <w:lastRenderedPageBreak/>
        <w:t>Código postal: 3600</w:t>
      </w:r>
    </w:p>
    <w:p w14:paraId="2118E018" w14:textId="50E6850C" w:rsidR="000B30B5" w:rsidRPr="000B30B5" w:rsidRDefault="000B30B5" w:rsidP="000B30B5">
      <w:pPr>
        <w:pStyle w:val="Prrafodelista"/>
        <w:tabs>
          <w:tab w:val="left" w:pos="-2694"/>
          <w:tab w:val="left" w:pos="-1440"/>
        </w:tabs>
        <w:spacing w:before="120" w:after="120"/>
        <w:contextualSpacing/>
        <w:rPr>
          <w:rFonts w:ascii="Times New Roman" w:hAnsi="Times New Roman"/>
        </w:rPr>
      </w:pPr>
    </w:p>
    <w:p w14:paraId="3D5CC25F" w14:textId="77777777" w:rsidR="000B30B5" w:rsidRPr="000B30B5" w:rsidRDefault="000B30B5" w:rsidP="000B30B5">
      <w:pPr>
        <w:pStyle w:val="Prrafodelista"/>
        <w:tabs>
          <w:tab w:val="left" w:pos="-2694"/>
          <w:tab w:val="left" w:pos="-1440"/>
        </w:tabs>
        <w:spacing w:before="120" w:after="120"/>
        <w:contextualSpacing/>
        <w:rPr>
          <w:rFonts w:ascii="Times New Roman" w:hAnsi="Times New Roman"/>
        </w:rPr>
      </w:pPr>
      <w:r w:rsidRPr="000B30B5">
        <w:rPr>
          <w:rFonts w:ascii="Times New Roman" w:hAnsi="Times New Roman"/>
        </w:rPr>
        <w:t>ASOCIACIÓN INTEGRAL PARA EL DESARROLLO INTEGRAL</w:t>
      </w:r>
    </w:p>
    <w:p w14:paraId="368B0356" w14:textId="77777777" w:rsidR="000B30B5" w:rsidRPr="000B30B5" w:rsidRDefault="000B30B5" w:rsidP="000B30B5">
      <w:pPr>
        <w:pStyle w:val="Prrafodelista"/>
        <w:tabs>
          <w:tab w:val="left" w:pos="-2694"/>
          <w:tab w:val="left" w:pos="-1440"/>
        </w:tabs>
        <w:spacing w:before="120" w:after="120"/>
        <w:contextualSpacing/>
        <w:rPr>
          <w:rFonts w:ascii="Times New Roman" w:hAnsi="Times New Roman"/>
        </w:rPr>
      </w:pPr>
    </w:p>
    <w:p w14:paraId="66D4D5FA" w14:textId="77777777" w:rsidR="000B30B5" w:rsidRPr="000B30B5" w:rsidRDefault="000B30B5" w:rsidP="000B30B5">
      <w:pPr>
        <w:ind w:firstLine="708"/>
        <w:rPr>
          <w:rFonts w:ascii="Times New Roman" w:hAnsi="Times New Roman"/>
          <w:sz w:val="22"/>
          <w:szCs w:val="22"/>
        </w:rPr>
      </w:pPr>
      <w:r w:rsidRPr="000B30B5">
        <w:rPr>
          <w:rFonts w:ascii="Times New Roman" w:hAnsi="Times New Roman"/>
          <w:sz w:val="22"/>
          <w:szCs w:val="22"/>
        </w:rPr>
        <w:t xml:space="preserve">Pasaje Crisanto </w:t>
      </w:r>
      <w:proofErr w:type="spellStart"/>
      <w:r w:rsidRPr="000B30B5">
        <w:rPr>
          <w:rFonts w:ascii="Times New Roman" w:hAnsi="Times New Roman"/>
          <w:sz w:val="22"/>
          <w:szCs w:val="22"/>
        </w:rPr>
        <w:t>Dominguez</w:t>
      </w:r>
      <w:proofErr w:type="spellEnd"/>
      <w:r w:rsidRPr="000B30B5">
        <w:rPr>
          <w:rFonts w:ascii="Times New Roman" w:hAnsi="Times New Roman"/>
          <w:sz w:val="22"/>
          <w:szCs w:val="22"/>
        </w:rPr>
        <w:t> 3586</w:t>
      </w:r>
    </w:p>
    <w:p w14:paraId="0E21D062" w14:textId="77777777" w:rsidR="000B30B5" w:rsidRPr="000B30B5" w:rsidRDefault="000B30B5" w:rsidP="000B30B5">
      <w:pPr>
        <w:ind w:firstLine="708"/>
        <w:rPr>
          <w:rFonts w:ascii="Times New Roman" w:hAnsi="Times New Roman"/>
          <w:sz w:val="22"/>
          <w:szCs w:val="22"/>
        </w:rPr>
      </w:pPr>
      <w:r w:rsidRPr="000B30B5">
        <w:rPr>
          <w:rFonts w:ascii="Times New Roman" w:hAnsi="Times New Roman"/>
          <w:sz w:val="22"/>
          <w:szCs w:val="22"/>
        </w:rPr>
        <w:t>Resistencia, Chaco.</w:t>
      </w:r>
    </w:p>
    <w:p w14:paraId="1BFA9FE5" w14:textId="2B1EDAFC" w:rsidR="000B30B5" w:rsidRPr="000B30B5" w:rsidRDefault="000B30B5" w:rsidP="000B30B5">
      <w:pPr>
        <w:pStyle w:val="Prrafodelista"/>
        <w:tabs>
          <w:tab w:val="left" w:pos="-2694"/>
          <w:tab w:val="left" w:pos="-1440"/>
        </w:tabs>
        <w:spacing w:before="120" w:after="120"/>
        <w:contextualSpacing/>
        <w:rPr>
          <w:rFonts w:ascii="Times New Roman" w:hAnsi="Times New Roman"/>
        </w:rPr>
      </w:pPr>
      <w:r w:rsidRPr="000B30B5">
        <w:rPr>
          <w:rFonts w:ascii="Times New Roman" w:hAnsi="Times New Roman"/>
        </w:rPr>
        <w:t xml:space="preserve">Código postal: 3500 </w:t>
      </w:r>
    </w:p>
    <w:p w14:paraId="0086F5CD" w14:textId="76D7789C" w:rsidR="0047783A" w:rsidRPr="00E82463" w:rsidRDefault="00BB00FC" w:rsidP="00E82463">
      <w:pPr>
        <w:ind w:left="567"/>
        <w:jc w:val="both"/>
        <w:rPr>
          <w:rFonts w:ascii="Times New Roman" w:hAnsi="Times New Roman"/>
          <w:sz w:val="22"/>
        </w:rPr>
      </w:pPr>
      <w:r w:rsidRPr="00491FD2">
        <w:rPr>
          <w:rFonts w:ascii="Times New Roman" w:hAnsi="Times New Roman"/>
          <w:sz w:val="22"/>
        </w:rPr>
        <w:t>60 días</w:t>
      </w:r>
      <w:r w:rsidR="00DA4D57" w:rsidRPr="00491FD2">
        <w:rPr>
          <w:rFonts w:ascii="Times New Roman" w:hAnsi="Times New Roman"/>
          <w:sz w:val="22"/>
        </w:rPr>
        <w:t>, de conformidad con el anuncio de contrato o la información adiciona</w:t>
      </w:r>
      <w:r w:rsidR="00491FD2">
        <w:rPr>
          <w:rFonts w:ascii="Times New Roman" w:hAnsi="Times New Roman"/>
          <w:sz w:val="22"/>
        </w:rPr>
        <w:t>l sobre el anuncio de contrato.</w:t>
      </w:r>
    </w:p>
    <w:p w14:paraId="435D1BB3" w14:textId="6DA30265" w:rsidR="0047783A" w:rsidRPr="00030909" w:rsidRDefault="00E82463" w:rsidP="00030909">
      <w:pPr>
        <w:pStyle w:val="Ttulo2"/>
        <w:keepNext w:val="0"/>
        <w:ind w:left="567" w:hanging="567"/>
        <w:jc w:val="both"/>
        <w:rPr>
          <w:rFonts w:ascii="Times New Roman" w:hAnsi="Times New Roman"/>
          <w:sz w:val="22"/>
        </w:rPr>
      </w:pPr>
      <w:bookmarkStart w:id="2" w:name="_Ref499723935"/>
      <w:bookmarkStart w:id="3" w:name="_Ref500330319"/>
      <w:r>
        <w:rPr>
          <w:rFonts w:ascii="Times New Roman" w:hAnsi="Times New Roman"/>
          <w:sz w:val="22"/>
        </w:rPr>
        <w:t>1.2</w:t>
      </w:r>
      <w:r>
        <w:rPr>
          <w:rFonts w:ascii="Times New Roman" w:hAnsi="Times New Roman"/>
          <w:sz w:val="22"/>
        </w:rPr>
        <w:tab/>
        <w:t>Los suministros deben conformarse enteramente a las especificaciones técnicas del expediente de licitación (anexo técnico) y ajustarse en todos los aspectos a los planos, cantidades, modelos, muestras, medidas y demás instrucciones.</w:t>
      </w:r>
      <w:bookmarkEnd w:id="2"/>
      <w:bookmarkEnd w:id="3"/>
    </w:p>
    <w:p w14:paraId="65FC8B4D" w14:textId="2CCD35A6" w:rsidR="0047783A" w:rsidRPr="00E82463" w:rsidRDefault="00030909" w:rsidP="006F3B41">
      <w:pPr>
        <w:pStyle w:val="Ttulo2"/>
        <w:ind w:left="567" w:hanging="567"/>
        <w:rPr>
          <w:rFonts w:ascii="Times New Roman" w:hAnsi="Times New Roman"/>
          <w:sz w:val="22"/>
        </w:rPr>
      </w:pPr>
      <w:r>
        <w:rPr>
          <w:rFonts w:ascii="Times New Roman" w:hAnsi="Times New Roman"/>
          <w:sz w:val="22"/>
        </w:rPr>
        <w:t>1.3</w:t>
      </w:r>
      <w:r w:rsidR="0047783A">
        <w:rPr>
          <w:rFonts w:ascii="Times New Roman" w:hAnsi="Times New Roman"/>
          <w:sz w:val="22"/>
        </w:rPr>
        <w:t xml:space="preserve"> </w:t>
      </w:r>
      <w:r w:rsidR="0047783A">
        <w:rPr>
          <w:rFonts w:ascii="Times New Roman" w:hAnsi="Times New Roman"/>
          <w:sz w:val="22"/>
        </w:rPr>
        <w:tab/>
        <w:t>Los licitadores no podrán presentar ofertas para una variante como complemento de la presente oferta.</w:t>
      </w:r>
      <w:r w:rsidR="0047783A">
        <w:rPr>
          <w:rFonts w:ascii="Times New Roman" w:hAnsi="Times New Roman"/>
          <w:sz w:val="22"/>
        </w:rPr>
        <w:br/>
      </w:r>
    </w:p>
    <w:p w14:paraId="2478EAAE" w14:textId="6E869C4D" w:rsidR="0047783A" w:rsidRPr="001A2BC4" w:rsidRDefault="00A633C6" w:rsidP="009956B4">
      <w:pPr>
        <w:pStyle w:val="Ttulo1"/>
      </w:pPr>
      <w:bookmarkStart w:id="4" w:name="_Toc42488071"/>
      <w:r>
        <w:t>2. Calendario</w:t>
      </w:r>
      <w:bookmarkEnd w:id="4"/>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2410"/>
        <w:gridCol w:w="2268"/>
      </w:tblGrid>
      <w:tr w:rsidR="0047783A" w:rsidRPr="00E82463" w14:paraId="043F8042" w14:textId="77777777" w:rsidTr="00A4424B">
        <w:tc>
          <w:tcPr>
            <w:tcW w:w="3969" w:type="dxa"/>
            <w:tcBorders>
              <w:bottom w:val="nil"/>
            </w:tcBorders>
          </w:tcPr>
          <w:p w14:paraId="4DCFE9A8" w14:textId="77777777" w:rsidR="0047783A" w:rsidRPr="00E82463" w:rsidRDefault="0047783A">
            <w:pPr>
              <w:keepNext/>
              <w:jc w:val="both"/>
              <w:rPr>
                <w:rFonts w:ascii="Times New Roman" w:hAnsi="Times New Roman"/>
              </w:rPr>
            </w:pPr>
          </w:p>
        </w:tc>
        <w:tc>
          <w:tcPr>
            <w:tcW w:w="2410" w:type="dxa"/>
            <w:shd w:val="pct10" w:color="auto" w:fill="FFFFFF"/>
          </w:tcPr>
          <w:p w14:paraId="3C43A0B5" w14:textId="77777777" w:rsidR="0047783A" w:rsidRPr="00E82463" w:rsidRDefault="0047783A">
            <w:pPr>
              <w:keepNext/>
              <w:jc w:val="both"/>
              <w:rPr>
                <w:rFonts w:ascii="Times New Roman" w:hAnsi="Times New Roman"/>
                <w:b/>
                <w:sz w:val="18"/>
              </w:rPr>
            </w:pPr>
            <w:r>
              <w:rPr>
                <w:rFonts w:ascii="Times New Roman" w:hAnsi="Times New Roman"/>
                <w:b/>
                <w:sz w:val="18"/>
              </w:rPr>
              <w:t>FECHA</w:t>
            </w:r>
          </w:p>
        </w:tc>
        <w:tc>
          <w:tcPr>
            <w:tcW w:w="2268" w:type="dxa"/>
            <w:tcBorders>
              <w:bottom w:val="nil"/>
            </w:tcBorders>
            <w:shd w:val="pct10" w:color="auto" w:fill="FFFFFF"/>
          </w:tcPr>
          <w:p w14:paraId="09790EF5" w14:textId="7B1DBF51" w:rsidR="0047783A" w:rsidRPr="00E82463" w:rsidRDefault="0047783A">
            <w:pPr>
              <w:jc w:val="both"/>
              <w:rPr>
                <w:rFonts w:ascii="Times New Roman" w:hAnsi="Times New Roman"/>
                <w:b/>
                <w:sz w:val="18"/>
              </w:rPr>
            </w:pPr>
            <w:r>
              <w:rPr>
                <w:rFonts w:ascii="Times New Roman" w:hAnsi="Times New Roman"/>
                <w:b/>
                <w:sz w:val="18"/>
              </w:rPr>
              <w:t>HORA</w:t>
            </w:r>
          </w:p>
        </w:tc>
      </w:tr>
      <w:tr w:rsidR="00403B25" w:rsidRPr="00E82463" w14:paraId="65DB2A02" w14:textId="77777777" w:rsidTr="00030909">
        <w:tc>
          <w:tcPr>
            <w:tcW w:w="3969" w:type="dxa"/>
            <w:shd w:val="pct10" w:color="auto" w:fill="FFFFFF"/>
          </w:tcPr>
          <w:p w14:paraId="132820BF" w14:textId="77777777" w:rsidR="00403B25" w:rsidRPr="00E82463" w:rsidRDefault="00403B25" w:rsidP="00403B25">
            <w:pPr>
              <w:jc w:val="both"/>
              <w:rPr>
                <w:rFonts w:ascii="Times New Roman" w:hAnsi="Times New Roman"/>
                <w:b/>
                <w:sz w:val="22"/>
              </w:rPr>
            </w:pPr>
            <w:r>
              <w:rPr>
                <w:rFonts w:ascii="Times New Roman" w:hAnsi="Times New Roman"/>
                <w:b/>
                <w:sz w:val="22"/>
              </w:rPr>
              <w:t>Reunión aclaratoria / visita sobre el terreno (si procede)</w:t>
            </w:r>
          </w:p>
        </w:tc>
        <w:tc>
          <w:tcPr>
            <w:tcW w:w="2410" w:type="dxa"/>
            <w:shd w:val="clear" w:color="auto" w:fill="auto"/>
          </w:tcPr>
          <w:p w14:paraId="057CFEC8" w14:textId="010EDFA2" w:rsidR="00403B25" w:rsidRPr="00E82463" w:rsidRDefault="00403B25" w:rsidP="00403B25">
            <w:pPr>
              <w:jc w:val="center"/>
              <w:rPr>
                <w:rFonts w:ascii="Times New Roman" w:hAnsi="Times New Roman"/>
                <w:sz w:val="22"/>
              </w:rPr>
            </w:pPr>
            <w:r w:rsidRPr="00030909">
              <w:rPr>
                <w:rFonts w:ascii="Times New Roman" w:hAnsi="Times New Roman"/>
                <w:sz w:val="22"/>
              </w:rPr>
              <w:t>No procede</w:t>
            </w:r>
          </w:p>
        </w:tc>
        <w:tc>
          <w:tcPr>
            <w:tcW w:w="2268" w:type="dxa"/>
          </w:tcPr>
          <w:p w14:paraId="2746E565" w14:textId="2795A1F0" w:rsidR="00403B25" w:rsidRPr="00156114" w:rsidRDefault="00403B25" w:rsidP="00403B25">
            <w:pPr>
              <w:jc w:val="center"/>
              <w:rPr>
                <w:rFonts w:ascii="Times New Roman" w:hAnsi="Times New Roman"/>
                <w:sz w:val="22"/>
              </w:rPr>
            </w:pPr>
            <w:r w:rsidRPr="00030909">
              <w:rPr>
                <w:rFonts w:ascii="Times New Roman" w:hAnsi="Times New Roman"/>
                <w:sz w:val="22"/>
                <w:szCs w:val="22"/>
              </w:rPr>
              <w:t>No procede</w:t>
            </w:r>
          </w:p>
        </w:tc>
      </w:tr>
      <w:tr w:rsidR="00403B25" w:rsidRPr="00E82463" w14:paraId="750EA862" w14:textId="77777777" w:rsidTr="00A4424B">
        <w:tc>
          <w:tcPr>
            <w:tcW w:w="3969" w:type="dxa"/>
            <w:shd w:val="pct10" w:color="auto" w:fill="FFFFFF"/>
          </w:tcPr>
          <w:p w14:paraId="23E77229" w14:textId="77777777" w:rsidR="00403B25" w:rsidRPr="00B35051" w:rsidRDefault="00403B25" w:rsidP="00403B25">
            <w:pPr>
              <w:keepNext/>
              <w:rPr>
                <w:rFonts w:ascii="Times New Roman" w:hAnsi="Times New Roman"/>
                <w:b/>
                <w:sz w:val="22"/>
              </w:rPr>
            </w:pPr>
            <w:r>
              <w:rPr>
                <w:rFonts w:ascii="Times New Roman" w:hAnsi="Times New Roman"/>
                <w:b/>
                <w:sz w:val="22"/>
              </w:rPr>
              <w:t>Plazo para solicitar aclaraciones al Órgano de Contratación</w:t>
            </w:r>
          </w:p>
        </w:tc>
        <w:tc>
          <w:tcPr>
            <w:tcW w:w="2410" w:type="dxa"/>
          </w:tcPr>
          <w:p w14:paraId="011343CC" w14:textId="59E96406" w:rsidR="00403B25" w:rsidRPr="009956B4" w:rsidRDefault="00066FE4" w:rsidP="00030909">
            <w:pPr>
              <w:rPr>
                <w:rFonts w:ascii="Times New Roman" w:hAnsi="Times New Roman"/>
                <w:sz w:val="22"/>
                <w:szCs w:val="22"/>
                <w:highlight w:val="yellow"/>
              </w:rPr>
            </w:pPr>
            <w:r w:rsidRPr="00066FE4">
              <w:rPr>
                <w:rFonts w:ascii="Times New Roman" w:hAnsi="Times New Roman"/>
                <w:sz w:val="22"/>
                <w:szCs w:val="22"/>
              </w:rPr>
              <w:t>15/11/2024</w:t>
            </w:r>
          </w:p>
        </w:tc>
        <w:tc>
          <w:tcPr>
            <w:tcW w:w="2268" w:type="dxa"/>
          </w:tcPr>
          <w:p w14:paraId="5B1CA5BA" w14:textId="04192502" w:rsidR="00403B25" w:rsidRPr="00403B25" w:rsidRDefault="00FF0134" w:rsidP="00403B25">
            <w:pPr>
              <w:jc w:val="center"/>
              <w:rPr>
                <w:rFonts w:ascii="Times New Roman" w:hAnsi="Times New Roman"/>
                <w:sz w:val="22"/>
              </w:rPr>
            </w:pPr>
            <w:r>
              <w:rPr>
                <w:rFonts w:ascii="Times New Roman" w:hAnsi="Times New Roman"/>
                <w:sz w:val="22"/>
              </w:rPr>
              <w:t>-</w:t>
            </w:r>
            <w:r>
              <w:rPr>
                <w:rFonts w:ascii="Times New Roman" w:hAnsi="Times New Roman"/>
                <w:sz w:val="22"/>
                <w:szCs w:val="22"/>
              </w:rPr>
              <w:t xml:space="preserve"> </w:t>
            </w:r>
          </w:p>
        </w:tc>
      </w:tr>
      <w:tr w:rsidR="00403B25" w:rsidRPr="00E82463" w14:paraId="3722E57B" w14:textId="77777777" w:rsidTr="00A4424B">
        <w:tc>
          <w:tcPr>
            <w:tcW w:w="3969" w:type="dxa"/>
            <w:shd w:val="pct10" w:color="auto" w:fill="FFFFFF"/>
          </w:tcPr>
          <w:p w14:paraId="4E5EBEC6" w14:textId="77777777" w:rsidR="00403B25" w:rsidRPr="00E82463" w:rsidRDefault="00403B25" w:rsidP="00403B25">
            <w:pPr>
              <w:rPr>
                <w:rFonts w:ascii="Times New Roman" w:hAnsi="Times New Roman"/>
                <w:b/>
                <w:sz w:val="22"/>
              </w:rPr>
            </w:pPr>
            <w:r>
              <w:rPr>
                <w:rFonts w:ascii="Times New Roman" w:hAnsi="Times New Roman"/>
                <w:b/>
                <w:sz w:val="22"/>
              </w:rPr>
              <w:t>Plazo para la comunicación de aclaraciones por el Órgano de Contratación</w:t>
            </w:r>
          </w:p>
        </w:tc>
        <w:tc>
          <w:tcPr>
            <w:tcW w:w="2410" w:type="dxa"/>
          </w:tcPr>
          <w:p w14:paraId="23C97F7C" w14:textId="2578FE64" w:rsidR="00403B25" w:rsidRPr="009956B4" w:rsidRDefault="00066FE4" w:rsidP="00403B25">
            <w:pPr>
              <w:rPr>
                <w:rFonts w:ascii="Times New Roman" w:hAnsi="Times New Roman"/>
                <w:sz w:val="22"/>
                <w:szCs w:val="22"/>
                <w:highlight w:val="yellow"/>
              </w:rPr>
            </w:pPr>
            <w:r w:rsidRPr="00066FE4">
              <w:rPr>
                <w:rFonts w:ascii="Times New Roman" w:hAnsi="Times New Roman"/>
                <w:sz w:val="22"/>
                <w:szCs w:val="22"/>
              </w:rPr>
              <w:t>29/11/2024</w:t>
            </w:r>
          </w:p>
        </w:tc>
        <w:tc>
          <w:tcPr>
            <w:tcW w:w="2268" w:type="dxa"/>
          </w:tcPr>
          <w:p w14:paraId="042C6B74" w14:textId="77777777" w:rsidR="00403B25" w:rsidRPr="00E82463" w:rsidRDefault="00403B25" w:rsidP="00403B25">
            <w:pPr>
              <w:jc w:val="center"/>
              <w:rPr>
                <w:rFonts w:ascii="Times New Roman" w:hAnsi="Times New Roman"/>
                <w:sz w:val="22"/>
              </w:rPr>
            </w:pPr>
            <w:r>
              <w:rPr>
                <w:rFonts w:ascii="Times New Roman" w:hAnsi="Times New Roman"/>
                <w:sz w:val="22"/>
              </w:rPr>
              <w:t>-</w:t>
            </w:r>
          </w:p>
        </w:tc>
      </w:tr>
      <w:tr w:rsidR="00403B25" w:rsidRPr="00E82463" w14:paraId="2C1FA528" w14:textId="77777777" w:rsidTr="00A4424B">
        <w:tc>
          <w:tcPr>
            <w:tcW w:w="3969" w:type="dxa"/>
            <w:shd w:val="pct10" w:color="auto" w:fill="FFFFFF"/>
          </w:tcPr>
          <w:p w14:paraId="50CA7D32" w14:textId="77777777" w:rsidR="00403B25" w:rsidRPr="00E82463" w:rsidRDefault="00403B25" w:rsidP="00403B25">
            <w:pPr>
              <w:jc w:val="both"/>
              <w:rPr>
                <w:rFonts w:ascii="Times New Roman" w:hAnsi="Times New Roman"/>
                <w:b/>
                <w:sz w:val="22"/>
              </w:rPr>
            </w:pPr>
            <w:r>
              <w:rPr>
                <w:rFonts w:ascii="Times New Roman" w:hAnsi="Times New Roman"/>
                <w:b/>
                <w:sz w:val="22"/>
              </w:rPr>
              <w:t>Plazo de presentación de ofertas</w:t>
            </w:r>
          </w:p>
        </w:tc>
        <w:tc>
          <w:tcPr>
            <w:tcW w:w="2410" w:type="dxa"/>
          </w:tcPr>
          <w:p w14:paraId="0331B505" w14:textId="5CB9E39B" w:rsidR="00403B25" w:rsidRPr="00E82463" w:rsidRDefault="00403B25" w:rsidP="0012084F">
            <w:pPr>
              <w:rPr>
                <w:rFonts w:ascii="Times New Roman" w:hAnsi="Times New Roman"/>
                <w:sz w:val="22"/>
              </w:rPr>
            </w:pPr>
            <w:r>
              <w:rPr>
                <w:rFonts w:ascii="Times New Roman" w:hAnsi="Times New Roman"/>
                <w:sz w:val="22"/>
              </w:rPr>
              <w:t xml:space="preserve">Según se indica en el anuncio de contrato </w:t>
            </w:r>
          </w:p>
        </w:tc>
        <w:tc>
          <w:tcPr>
            <w:tcW w:w="2268" w:type="dxa"/>
          </w:tcPr>
          <w:p w14:paraId="24FA29BB" w14:textId="69182BF3" w:rsidR="00403B25" w:rsidRPr="00E82463" w:rsidRDefault="00403B25" w:rsidP="00403B25">
            <w:pPr>
              <w:jc w:val="center"/>
              <w:rPr>
                <w:rFonts w:ascii="Times New Roman" w:hAnsi="Times New Roman"/>
                <w:sz w:val="22"/>
              </w:rPr>
            </w:pPr>
          </w:p>
        </w:tc>
      </w:tr>
      <w:tr w:rsidR="00403B25" w:rsidRPr="00E82463" w14:paraId="0190C6E2" w14:textId="77777777" w:rsidTr="00A4424B">
        <w:tc>
          <w:tcPr>
            <w:tcW w:w="3969" w:type="dxa"/>
            <w:shd w:val="pct10" w:color="auto" w:fill="FFFFFF"/>
          </w:tcPr>
          <w:p w14:paraId="550FBF2E" w14:textId="77777777" w:rsidR="00403B25" w:rsidRPr="00E82463" w:rsidRDefault="00403B25" w:rsidP="00403B25">
            <w:pPr>
              <w:jc w:val="both"/>
              <w:rPr>
                <w:rFonts w:ascii="Times New Roman" w:hAnsi="Times New Roman"/>
                <w:b/>
                <w:sz w:val="22"/>
              </w:rPr>
            </w:pPr>
            <w:r>
              <w:rPr>
                <w:rFonts w:ascii="Times New Roman" w:hAnsi="Times New Roman"/>
                <w:b/>
                <w:sz w:val="22"/>
              </w:rPr>
              <w:t>Sesión de apertura de plicas</w:t>
            </w:r>
          </w:p>
        </w:tc>
        <w:tc>
          <w:tcPr>
            <w:tcW w:w="2410" w:type="dxa"/>
          </w:tcPr>
          <w:p w14:paraId="582624C5" w14:textId="0015149D" w:rsidR="00403B25" w:rsidRPr="00E82463" w:rsidRDefault="008559BE" w:rsidP="008559BE">
            <w:pPr>
              <w:rPr>
                <w:rFonts w:ascii="Times New Roman" w:hAnsi="Times New Roman"/>
                <w:sz w:val="22"/>
              </w:rPr>
            </w:pPr>
            <w:r>
              <w:rPr>
                <w:rFonts w:ascii="Times New Roman" w:hAnsi="Times New Roman"/>
                <w:sz w:val="22"/>
              </w:rPr>
              <w:t xml:space="preserve"> </w:t>
            </w:r>
            <w:r w:rsidR="0000259F" w:rsidRPr="008559BE">
              <w:rPr>
                <w:rFonts w:ascii="Times New Roman" w:hAnsi="Times New Roman"/>
                <w:sz w:val="22"/>
              </w:rPr>
              <w:t>No aplicable</w:t>
            </w:r>
            <w:r w:rsidR="0000259F">
              <w:rPr>
                <w:rFonts w:ascii="Times New Roman" w:hAnsi="Times New Roman"/>
                <w:sz w:val="22"/>
              </w:rPr>
              <w:t xml:space="preserve"> </w:t>
            </w:r>
          </w:p>
        </w:tc>
        <w:tc>
          <w:tcPr>
            <w:tcW w:w="2268" w:type="dxa"/>
          </w:tcPr>
          <w:p w14:paraId="4A5D8A55" w14:textId="330530D4" w:rsidR="00403B25" w:rsidRPr="00E82463" w:rsidRDefault="00403B25">
            <w:pPr>
              <w:jc w:val="center"/>
              <w:rPr>
                <w:rFonts w:ascii="Times New Roman" w:hAnsi="Times New Roman"/>
                <w:sz w:val="22"/>
              </w:rPr>
            </w:pPr>
          </w:p>
        </w:tc>
      </w:tr>
      <w:tr w:rsidR="00403B25" w:rsidRPr="00E82463" w14:paraId="3B4561D8" w14:textId="77777777" w:rsidTr="00A4424B">
        <w:tc>
          <w:tcPr>
            <w:tcW w:w="3969" w:type="dxa"/>
            <w:shd w:val="pct10" w:color="auto" w:fill="FFFFFF"/>
          </w:tcPr>
          <w:p w14:paraId="2A2A8413" w14:textId="77777777" w:rsidR="00403B25" w:rsidRPr="00E82463" w:rsidRDefault="00403B25" w:rsidP="00403B25">
            <w:pPr>
              <w:tabs>
                <w:tab w:val="left" w:pos="851"/>
              </w:tabs>
              <w:jc w:val="both"/>
              <w:rPr>
                <w:rFonts w:ascii="Times New Roman" w:hAnsi="Times New Roman"/>
                <w:b/>
                <w:sz w:val="22"/>
              </w:rPr>
            </w:pPr>
            <w:r>
              <w:rPr>
                <w:rFonts w:ascii="Times New Roman" w:hAnsi="Times New Roman"/>
                <w:b/>
                <w:sz w:val="22"/>
              </w:rPr>
              <w:t>Notificación de la adjudicación al adjudicatario</w:t>
            </w:r>
          </w:p>
        </w:tc>
        <w:tc>
          <w:tcPr>
            <w:tcW w:w="2410" w:type="dxa"/>
          </w:tcPr>
          <w:p w14:paraId="3C199AAE" w14:textId="4A9161AE" w:rsidR="00403B25" w:rsidRPr="00E82463" w:rsidRDefault="00403B25" w:rsidP="00403B25">
            <w:pPr>
              <w:tabs>
                <w:tab w:val="left" w:pos="851"/>
              </w:tabs>
              <w:rPr>
                <w:rFonts w:ascii="Times New Roman" w:hAnsi="Times New Roman"/>
                <w:sz w:val="22"/>
              </w:rPr>
            </w:pPr>
            <w:r w:rsidRPr="008559BE">
              <w:rPr>
                <w:rFonts w:ascii="Times New Roman" w:hAnsi="Times New Roman"/>
                <w:sz w:val="22"/>
              </w:rPr>
              <w:t>Como máximo, 90 días a partir de la finalización del plazo de presentación de las ofertas</w:t>
            </w:r>
            <w:r w:rsidRPr="008559BE">
              <w:rPr>
                <w:rFonts w:ascii="Times New Roman" w:hAnsi="Times New Roman"/>
                <w:sz w:val="22"/>
                <w:vertAlign w:val="superscript"/>
              </w:rPr>
              <w:t>*</w:t>
            </w:r>
          </w:p>
        </w:tc>
        <w:tc>
          <w:tcPr>
            <w:tcW w:w="2268" w:type="dxa"/>
          </w:tcPr>
          <w:p w14:paraId="3D4FD905" w14:textId="77777777" w:rsidR="00403B25" w:rsidRPr="00E82463" w:rsidRDefault="00403B25" w:rsidP="00403B25">
            <w:pPr>
              <w:tabs>
                <w:tab w:val="left" w:pos="851"/>
              </w:tabs>
              <w:jc w:val="center"/>
              <w:rPr>
                <w:rFonts w:ascii="Times New Roman" w:hAnsi="Times New Roman"/>
                <w:sz w:val="22"/>
              </w:rPr>
            </w:pPr>
            <w:r>
              <w:rPr>
                <w:rFonts w:ascii="Times New Roman" w:hAnsi="Times New Roman"/>
                <w:sz w:val="22"/>
              </w:rPr>
              <w:t>-</w:t>
            </w:r>
          </w:p>
        </w:tc>
      </w:tr>
      <w:tr w:rsidR="00403B25" w:rsidRPr="00E82463" w14:paraId="6F1F217F" w14:textId="77777777" w:rsidTr="00A4424B">
        <w:tc>
          <w:tcPr>
            <w:tcW w:w="3969" w:type="dxa"/>
            <w:shd w:val="pct10" w:color="auto" w:fill="FFFFFF"/>
          </w:tcPr>
          <w:p w14:paraId="6FC76AD1" w14:textId="77777777" w:rsidR="00403B25" w:rsidRPr="00E82463" w:rsidRDefault="00403B25" w:rsidP="00403B25">
            <w:pPr>
              <w:tabs>
                <w:tab w:val="left" w:pos="851"/>
              </w:tabs>
              <w:jc w:val="both"/>
              <w:rPr>
                <w:rFonts w:ascii="Times New Roman" w:hAnsi="Times New Roman"/>
                <w:b/>
                <w:sz w:val="22"/>
              </w:rPr>
            </w:pPr>
            <w:r>
              <w:rPr>
                <w:rFonts w:ascii="Times New Roman" w:hAnsi="Times New Roman"/>
                <w:b/>
                <w:sz w:val="22"/>
              </w:rPr>
              <w:t>Firma del contrato</w:t>
            </w:r>
          </w:p>
        </w:tc>
        <w:tc>
          <w:tcPr>
            <w:tcW w:w="2410" w:type="dxa"/>
          </w:tcPr>
          <w:p w14:paraId="5059BB7A" w14:textId="3A891EEA" w:rsidR="00403B25" w:rsidRPr="00E82463" w:rsidRDefault="00403B25" w:rsidP="00403B25">
            <w:pPr>
              <w:tabs>
                <w:tab w:val="left" w:pos="851"/>
              </w:tabs>
              <w:rPr>
                <w:rFonts w:ascii="Times New Roman" w:hAnsi="Times New Roman"/>
                <w:sz w:val="22"/>
              </w:rPr>
            </w:pPr>
            <w:r w:rsidRPr="008559BE">
              <w:rPr>
                <w:rFonts w:ascii="Times New Roman" w:hAnsi="Times New Roman"/>
                <w:sz w:val="22"/>
              </w:rPr>
              <w:t>Como máximo, 150 días a partir de la finalización del plazo de presentación de las ofertas</w:t>
            </w:r>
            <w:r w:rsidRPr="008559BE">
              <w:rPr>
                <w:rFonts w:ascii="Times New Roman" w:hAnsi="Times New Roman"/>
                <w:sz w:val="22"/>
                <w:vertAlign w:val="superscript"/>
              </w:rPr>
              <w:t>*</w:t>
            </w:r>
          </w:p>
        </w:tc>
        <w:tc>
          <w:tcPr>
            <w:tcW w:w="2268" w:type="dxa"/>
          </w:tcPr>
          <w:p w14:paraId="1D7A125C" w14:textId="77777777" w:rsidR="00403B25" w:rsidRPr="00E82463" w:rsidRDefault="00403B25" w:rsidP="001A2BC4">
            <w:pPr>
              <w:tabs>
                <w:tab w:val="left" w:pos="851"/>
              </w:tabs>
              <w:jc w:val="center"/>
              <w:rPr>
                <w:rFonts w:ascii="Times New Roman" w:hAnsi="Times New Roman"/>
                <w:sz w:val="22"/>
              </w:rPr>
            </w:pPr>
            <w:r>
              <w:rPr>
                <w:rFonts w:ascii="Times New Roman" w:hAnsi="Times New Roman"/>
                <w:sz w:val="22"/>
              </w:rPr>
              <w:t>-</w:t>
            </w:r>
          </w:p>
        </w:tc>
      </w:tr>
    </w:tbl>
    <w:p w14:paraId="1854E952" w14:textId="33FF115E" w:rsidR="0047783A" w:rsidRDefault="00F679ED">
      <w:pPr>
        <w:tabs>
          <w:tab w:val="left" w:pos="851"/>
        </w:tabs>
        <w:jc w:val="both"/>
        <w:rPr>
          <w:rFonts w:ascii="Times New Roman" w:hAnsi="Times New Roman"/>
          <w:b/>
        </w:rPr>
      </w:pPr>
      <w:bookmarkStart w:id="5" w:name="_Ref500317541"/>
      <w:r>
        <w:rPr>
          <w:rFonts w:ascii="Times New Roman" w:hAnsi="Times New Roman"/>
          <w:b/>
        </w:rPr>
        <w:t>* Fecha provisional</w:t>
      </w:r>
    </w:p>
    <w:p w14:paraId="0C879CB9" w14:textId="1E59ABAA" w:rsidR="00F679ED" w:rsidRDefault="00F679ED">
      <w:pPr>
        <w:tabs>
          <w:tab w:val="left" w:pos="851"/>
        </w:tabs>
        <w:jc w:val="both"/>
        <w:rPr>
          <w:rFonts w:ascii="Times New Roman" w:hAnsi="Times New Roman"/>
          <w:b/>
        </w:rPr>
      </w:pPr>
    </w:p>
    <w:p w14:paraId="711B6D59" w14:textId="77777777" w:rsidR="00066FE4" w:rsidRPr="00E82463" w:rsidRDefault="00066FE4">
      <w:pPr>
        <w:tabs>
          <w:tab w:val="left" w:pos="851"/>
        </w:tabs>
        <w:jc w:val="both"/>
        <w:rPr>
          <w:rFonts w:ascii="Times New Roman" w:hAnsi="Times New Roman"/>
          <w:b/>
        </w:rPr>
      </w:pPr>
    </w:p>
    <w:p w14:paraId="6B90190C" w14:textId="36589EAA" w:rsidR="00EC4FD6" w:rsidRPr="0042695A" w:rsidRDefault="00A633C6" w:rsidP="009956B4">
      <w:pPr>
        <w:pStyle w:val="Ttulo1"/>
      </w:pPr>
      <w:bookmarkStart w:id="6" w:name="_Toc42488072"/>
      <w:bookmarkEnd w:id="5"/>
      <w:r>
        <w:lastRenderedPageBreak/>
        <w:t>3. Participación</w:t>
      </w:r>
      <w:bookmarkEnd w:id="6"/>
    </w:p>
    <w:p w14:paraId="121DD461" w14:textId="2614B025" w:rsidR="0047783A" w:rsidRPr="00E82463" w:rsidRDefault="0047783A" w:rsidP="009956B4">
      <w:pPr>
        <w:pStyle w:val="Ttulo2"/>
        <w:keepNext w:val="0"/>
        <w:jc w:val="both"/>
        <w:rPr>
          <w:rFonts w:ascii="Times New Roman" w:hAnsi="Times New Roman"/>
          <w:lang w:val="en-GB"/>
        </w:rPr>
      </w:pPr>
    </w:p>
    <w:p w14:paraId="1D6939D3" w14:textId="19A2B1EF" w:rsidR="0047783A" w:rsidRPr="007A0C47" w:rsidRDefault="0047783A" w:rsidP="000A5F76">
      <w:pPr>
        <w:pStyle w:val="Ttulo2"/>
        <w:keepNext w:val="0"/>
        <w:tabs>
          <w:tab w:val="left" w:pos="709"/>
        </w:tabs>
        <w:ind w:left="567" w:hanging="567"/>
        <w:jc w:val="both"/>
        <w:rPr>
          <w:rFonts w:ascii="Times New Roman" w:hAnsi="Times New Roman"/>
          <w:sz w:val="22"/>
        </w:rPr>
      </w:pPr>
      <w:r>
        <w:rPr>
          <w:rFonts w:ascii="Times New Roman" w:hAnsi="Times New Roman"/>
          <w:sz w:val="22"/>
        </w:rPr>
        <w:t>3.1.</w:t>
      </w:r>
      <w:r>
        <w:rPr>
          <w:rFonts w:ascii="Times New Roman" w:hAnsi="Times New Roman"/>
          <w:sz w:val="22"/>
        </w:rPr>
        <w:tab/>
        <w:t>Los requisitos de elegibilidad especificados en la información adicional sobre el anuncio de contrato (anexo A5f) o, si procede, en el anuncio de contrato (C2) son aplicables a todos los miembros de una empresa conjunta o de un consorcio, a todos los subcontratistas y a todas las entidades a cuya capacidad se remite el licitador para los criterios de selección. Cada licitador, cada miembro de una empresa conjunta o de un consorcio, cada entidad suministradora de capacidad y cada subcontratista deberá certificar que cumple dichos requisitos y demostrar su elegibilidad mediante un documento fechado menos de un año antes de que finalice el plazo de presentación de las ofertas, expedido de conformidad con su legislación o las prácticas nacionales, o mediante copias de los documentos originales que definan la constitución o la personalidad jurídica y determinen el lugar del registro o la sede estatutaria y, si fuese distinto, el lugar en que se encuentra su administración central. El Órgano de Contratación podrá aceptar otras pruebas satisfactorias del cumplimiento de estos requisitos.</w:t>
      </w:r>
    </w:p>
    <w:p w14:paraId="68DC0A0C" w14:textId="1190E71B" w:rsidR="0047783A" w:rsidRPr="00E82463" w:rsidRDefault="0047783A" w:rsidP="0047783A">
      <w:pPr>
        <w:pStyle w:val="Ttulo2"/>
        <w:keepNext w:val="0"/>
        <w:tabs>
          <w:tab w:val="left" w:pos="709"/>
        </w:tabs>
        <w:ind w:left="567" w:hanging="567"/>
        <w:jc w:val="both"/>
        <w:rPr>
          <w:rFonts w:ascii="Times New Roman" w:hAnsi="Times New Roman"/>
          <w:sz w:val="22"/>
        </w:rPr>
      </w:pPr>
      <w:r>
        <w:rPr>
          <w:rFonts w:ascii="Times New Roman" w:hAnsi="Times New Roman"/>
          <w:sz w:val="22"/>
        </w:rPr>
        <w:t>3.2.</w:t>
      </w:r>
      <w:r>
        <w:rPr>
          <w:rFonts w:ascii="Times New Roman" w:hAnsi="Times New Roman"/>
          <w:sz w:val="22"/>
        </w:rPr>
        <w:tab/>
        <w:t xml:space="preserve">No tendrán derecho a participar en este procedimiento de licitación ni a ser adjudicatarias de un contrato las personas físicas o jurídicas que se encuentren en alguna de las situaciones mencionadas en los apartados 2.4 (medidas restrictivas de la UE), 2.6.10.1 (criterios de exclusión) o 2.6.10.1.2 (exclusión de un procedimiento) de la Guía Práctica. Si lo hicieran, su oferta será considerada inadecuada o irregular, respectivamente. </w:t>
      </w:r>
      <w:r>
        <w:rPr>
          <w:rFonts w:ascii="Times New Roman" w:hAnsi="Times New Roman"/>
          <w:sz w:val="22"/>
          <w:szCs w:val="22"/>
        </w:rPr>
        <w:t>En los casos enumerados en el apartado 2.6.10.1. de la Guía Práctica, los licitadores también podrán ser excluidos de los procedimientos financiados por la UE y ser objeto de sanciones financieras por un valor equivalente como máximo al 10 % del valor total del contrato,</w:t>
      </w:r>
      <w:r>
        <w:rPr>
          <w:rFonts w:ascii="Times New Roman" w:hAnsi="Times New Roman"/>
          <w:b/>
          <w:sz w:val="22"/>
          <w:szCs w:val="22"/>
        </w:rPr>
        <w:t xml:space="preserve"> </w:t>
      </w:r>
      <w:r>
        <w:rPr>
          <w:rFonts w:ascii="Times New Roman" w:hAnsi="Times New Roman"/>
          <w:sz w:val="22"/>
          <w:szCs w:val="22"/>
        </w:rPr>
        <w:t>de conformidad con el Reglamento Financiero en vigor. Esta información podrá publicarse en el sitio web de la Comisión de conformidad con el Reglamento Financiero en vigor.</w:t>
      </w:r>
      <w:r>
        <w:rPr>
          <w:sz w:val="22"/>
          <w:szCs w:val="22"/>
        </w:rPr>
        <w:t xml:space="preserve"> </w:t>
      </w:r>
      <w:r>
        <w:rPr>
          <w:rFonts w:ascii="Times New Roman" w:hAnsi="Times New Roman"/>
          <w:sz w:val="22"/>
        </w:rPr>
        <w:t>Los licitadores deberán presentar declaraciones juradas</w:t>
      </w:r>
      <w:r w:rsidR="006B5B42">
        <w:rPr>
          <w:rStyle w:val="Refdenotaalpie"/>
          <w:rFonts w:ascii="Times New Roman" w:hAnsi="Times New Roman"/>
          <w:sz w:val="22"/>
          <w:lang w:val="en-GB"/>
        </w:rPr>
        <w:footnoteReference w:id="1"/>
      </w:r>
      <w:r>
        <w:rPr>
          <w:rFonts w:ascii="Times New Roman" w:hAnsi="Times New Roman"/>
          <w:sz w:val="22"/>
        </w:rPr>
        <w:t xml:space="preserve"> en las que se especifique que no se encuentran en ninguna de estas situaciones de exclusión. Asimismo, deberán presentar tales declaraciones todos los miembros de una empresa conjunta o de un consorcio, así como los posibles subcontratistas y entidades suministradoras de capacidad. A los licitadores que sean declarados culpables de declaraciones falsas se les podrán imponer, además, sanciones financieras y podrán quedar excluidos con arreglo al Reglamento Financiero en vigor. Su oferta se considerará irregular.</w:t>
      </w:r>
    </w:p>
    <w:p w14:paraId="5C7A699D" w14:textId="77777777" w:rsidR="0047783A" w:rsidRPr="00E82463" w:rsidRDefault="0047783A" w:rsidP="0047783A">
      <w:pPr>
        <w:pStyle w:val="Ttulo2"/>
        <w:keepNext w:val="0"/>
        <w:tabs>
          <w:tab w:val="num" w:pos="709"/>
        </w:tabs>
        <w:ind w:left="567"/>
        <w:jc w:val="both"/>
        <w:rPr>
          <w:rFonts w:ascii="Times New Roman" w:hAnsi="Times New Roman"/>
          <w:sz w:val="22"/>
          <w:szCs w:val="22"/>
        </w:rPr>
      </w:pPr>
      <w:r>
        <w:rPr>
          <w:rFonts w:ascii="Times New Roman" w:hAnsi="Times New Roman"/>
          <w:sz w:val="22"/>
        </w:rPr>
        <w:t xml:space="preserve">Las situaciones de exclusión mencionadas también son aplicables a todos los miembros de una empresa conjunta o de un consorcio, a todos los subcontratistas, a todos los proveedores de licitadores y a todas las entidades a cuya capacidad se remite el licitador para los criterios de selección. </w:t>
      </w:r>
      <w:r>
        <w:rPr>
          <w:rFonts w:ascii="Times New Roman" w:hAnsi="Times New Roman"/>
          <w:sz w:val="22"/>
          <w:szCs w:val="22"/>
        </w:rPr>
        <w:t>En caso de duda sobre dicha declaración jurada, el Órgano de Contratación solicitará la prueba documental de que los subcontratistas o las entidades suministradoras de capacidad no se encuentran en una situación de exclusión.</w:t>
      </w:r>
    </w:p>
    <w:p w14:paraId="5F32A485" w14:textId="7EFEC302" w:rsidR="0047783A" w:rsidRPr="00E82463" w:rsidRDefault="0047783A" w:rsidP="0047783A">
      <w:pPr>
        <w:pStyle w:val="Ttulo2"/>
        <w:keepNext w:val="0"/>
        <w:tabs>
          <w:tab w:val="num" w:pos="709"/>
          <w:tab w:val="left" w:pos="8080"/>
        </w:tabs>
        <w:ind w:left="567" w:hanging="567"/>
        <w:jc w:val="both"/>
        <w:rPr>
          <w:rFonts w:ascii="Times New Roman" w:hAnsi="Times New Roman"/>
          <w:sz w:val="22"/>
          <w:szCs w:val="22"/>
        </w:rPr>
      </w:pPr>
      <w:r>
        <w:rPr>
          <w:rFonts w:ascii="Times New Roman" w:hAnsi="Times New Roman"/>
          <w:sz w:val="22"/>
          <w:szCs w:val="22"/>
        </w:rPr>
        <w:t>3.3.</w:t>
      </w:r>
      <w:r>
        <w:rPr>
          <w:rFonts w:ascii="Times New Roman" w:hAnsi="Times New Roman"/>
          <w:sz w:val="22"/>
          <w:szCs w:val="22"/>
        </w:rPr>
        <w:tab/>
        <w:t>Para poder participar en la presente licitación, los licitadores deberán probar suficientemente ante el Órgano de Contratación que cumplen los requisitos necesarios de carácter jurídico, técnico y financiero y que tienen recursos suficientes para ejecutar el contrato eficazmente.</w:t>
      </w:r>
    </w:p>
    <w:p w14:paraId="7164BE93" w14:textId="5FEA2148" w:rsidR="00502B15" w:rsidRDefault="0047783A" w:rsidP="00EC571A">
      <w:pPr>
        <w:pStyle w:val="Ttulo2"/>
        <w:tabs>
          <w:tab w:val="num" w:pos="709"/>
          <w:tab w:val="left" w:pos="792"/>
          <w:tab w:val="left" w:pos="8080"/>
        </w:tabs>
        <w:ind w:left="567" w:hanging="567"/>
        <w:jc w:val="both"/>
        <w:rPr>
          <w:rFonts w:ascii="Times New Roman" w:hAnsi="Times New Roman"/>
          <w:sz w:val="22"/>
          <w:szCs w:val="22"/>
        </w:rPr>
      </w:pPr>
      <w:r>
        <w:rPr>
          <w:rFonts w:ascii="Times New Roman" w:hAnsi="Times New Roman"/>
          <w:sz w:val="22"/>
          <w:szCs w:val="22"/>
        </w:rPr>
        <w:t>3.4.</w:t>
      </w:r>
      <w:r>
        <w:rPr>
          <w:rFonts w:ascii="Times New Roman" w:hAnsi="Times New Roman"/>
          <w:sz w:val="22"/>
          <w:szCs w:val="22"/>
        </w:rPr>
        <w:tab/>
        <w:t>Se admite la subcontratación.</w:t>
      </w:r>
      <w:r w:rsidR="00924C60">
        <w:rPr>
          <w:rFonts w:ascii="Times New Roman" w:hAnsi="Times New Roman"/>
          <w:sz w:val="22"/>
          <w:szCs w:val="22"/>
        </w:rPr>
        <w:t xml:space="preserve"> </w:t>
      </w:r>
      <w:r>
        <w:rPr>
          <w:rFonts w:ascii="Times New Roman" w:hAnsi="Times New Roman"/>
          <w:sz w:val="22"/>
          <w:szCs w:val="22"/>
        </w:rPr>
        <w:t>El licitador y, en su caso, las entidades a cuyas capacidades haya recurrido en lo que respecta a los criterios de capacidad económica y financiera serán responsables solidarios de la ejecución del contrato.</w:t>
      </w:r>
    </w:p>
    <w:p w14:paraId="360F1A5F" w14:textId="4CF95F57" w:rsidR="0047783A" w:rsidRPr="001A2BC4" w:rsidRDefault="00A633C6" w:rsidP="009956B4">
      <w:pPr>
        <w:pStyle w:val="Ttulo1"/>
      </w:pPr>
      <w:bookmarkStart w:id="7" w:name="_Toc42488073"/>
      <w:r>
        <w:t>4. Origen</w:t>
      </w:r>
      <w:bookmarkEnd w:id="7"/>
    </w:p>
    <w:p w14:paraId="39B15329" w14:textId="51A541E4" w:rsidR="000D4391" w:rsidRPr="007A6A7D" w:rsidRDefault="000A5F76" w:rsidP="007A6A7D">
      <w:pPr>
        <w:pStyle w:val="paragraph"/>
        <w:spacing w:before="0" w:beforeAutospacing="0" w:after="0" w:afterAutospacing="0"/>
        <w:textAlignment w:val="baseline"/>
        <w:rPr>
          <w:rStyle w:val="normaltextrun"/>
          <w:rFonts w:ascii="Segoe UI" w:hAnsi="Segoe UI" w:cs="Segoe UI"/>
          <w:sz w:val="18"/>
          <w:szCs w:val="18"/>
        </w:rPr>
      </w:pPr>
      <w:r>
        <w:rPr>
          <w:sz w:val="22"/>
        </w:rPr>
        <w:t xml:space="preserve">4.1 </w:t>
      </w:r>
    </w:p>
    <w:p w14:paraId="73578380" w14:textId="59FA1AE4" w:rsidR="00D33BE3" w:rsidRPr="007A6A7D" w:rsidRDefault="0012084F" w:rsidP="007A6A7D">
      <w:pPr>
        <w:ind w:left="567" w:hanging="567"/>
        <w:jc w:val="both"/>
        <w:rPr>
          <w:rFonts w:ascii="Times New Roman" w:hAnsi="Times New Roman"/>
          <w:sz w:val="22"/>
        </w:rPr>
      </w:pPr>
      <w:r>
        <w:rPr>
          <w:rFonts w:ascii="Times New Roman" w:hAnsi="Times New Roman"/>
          <w:iCs/>
          <w:snapToGrid/>
          <w:sz w:val="22"/>
          <w:szCs w:val="22"/>
        </w:rPr>
        <w:tab/>
      </w:r>
      <w:r w:rsidRPr="007A6A7D">
        <w:rPr>
          <w:rFonts w:ascii="Times New Roman" w:hAnsi="Times New Roman"/>
          <w:sz w:val="22"/>
        </w:rPr>
        <w:t>Todos los suministros cubiertos por el presente contrato pueden ser</w:t>
      </w:r>
      <w:r w:rsidR="007A6A7D" w:rsidRPr="007A6A7D">
        <w:rPr>
          <w:rFonts w:ascii="Times New Roman" w:hAnsi="Times New Roman"/>
          <w:sz w:val="22"/>
        </w:rPr>
        <w:t xml:space="preserve"> originarios de cualquier país.</w:t>
      </w:r>
    </w:p>
    <w:p w14:paraId="31CBABF1" w14:textId="77777777" w:rsidR="0047783A" w:rsidRDefault="0047783A" w:rsidP="0047783A">
      <w:pPr>
        <w:pStyle w:val="Ttulo2"/>
        <w:keepNext w:val="0"/>
        <w:ind w:left="567" w:hanging="567"/>
        <w:jc w:val="both"/>
        <w:rPr>
          <w:rFonts w:ascii="Times New Roman" w:hAnsi="Times New Roman"/>
          <w:sz w:val="22"/>
        </w:rPr>
      </w:pPr>
      <w:r>
        <w:rPr>
          <w:rFonts w:ascii="Times New Roman" w:hAnsi="Times New Roman"/>
          <w:sz w:val="22"/>
        </w:rPr>
        <w:lastRenderedPageBreak/>
        <w:t>4.2</w:t>
      </w:r>
      <w:r>
        <w:rPr>
          <w:rFonts w:ascii="Times New Roman" w:hAnsi="Times New Roman"/>
          <w:sz w:val="22"/>
        </w:rPr>
        <w:tab/>
        <w:t>Al presentar su oferta, los licitadores deberán indicar expresamente que todos los suministros cumplen los requisitos relativos al origen y mencionar los respectivos países de origen. A tal efecto, se les podrá requerir la presentación de información adicional.</w:t>
      </w:r>
    </w:p>
    <w:p w14:paraId="60C6066D" w14:textId="63314A8D" w:rsidR="0047783A" w:rsidRPr="001A2BC4" w:rsidRDefault="00A633C6" w:rsidP="009956B4">
      <w:pPr>
        <w:pStyle w:val="Ttulo1"/>
      </w:pPr>
      <w:bookmarkStart w:id="8" w:name="_Toc42488074"/>
      <w:r>
        <w:t>5. Tipo de contrato</w:t>
      </w:r>
      <w:bookmarkEnd w:id="8"/>
    </w:p>
    <w:p w14:paraId="27F17544" w14:textId="75D7C1FF" w:rsidR="0047783A" w:rsidRPr="00E82463" w:rsidRDefault="00D8732D" w:rsidP="0047783A">
      <w:pPr>
        <w:pStyle w:val="Ttulo2"/>
        <w:keepNext w:val="0"/>
        <w:ind w:left="567"/>
        <w:jc w:val="both"/>
        <w:rPr>
          <w:rFonts w:ascii="Times New Roman" w:hAnsi="Times New Roman"/>
          <w:sz w:val="22"/>
        </w:rPr>
      </w:pPr>
      <w:r w:rsidRPr="007A6A7D">
        <w:rPr>
          <w:rFonts w:ascii="Times New Roman" w:hAnsi="Times New Roman"/>
          <w:sz w:val="22"/>
        </w:rPr>
        <w:t>precio unitario</w:t>
      </w:r>
    </w:p>
    <w:p w14:paraId="752C7A3B" w14:textId="56AFA5FE" w:rsidR="0047783A" w:rsidRPr="001A2BC4" w:rsidRDefault="00A633C6" w:rsidP="009956B4">
      <w:pPr>
        <w:pStyle w:val="Ttulo1"/>
      </w:pPr>
      <w:bookmarkStart w:id="9" w:name="_Toc42488075"/>
      <w:r>
        <w:t>6. Moneda</w:t>
      </w:r>
      <w:bookmarkEnd w:id="9"/>
    </w:p>
    <w:p w14:paraId="465A230B" w14:textId="46AB0C94" w:rsidR="0047783A" w:rsidRPr="00E82463" w:rsidRDefault="0047783A" w:rsidP="0047783A">
      <w:pPr>
        <w:pStyle w:val="Ttulo2"/>
        <w:keepNext w:val="0"/>
        <w:ind w:left="567"/>
        <w:jc w:val="both"/>
        <w:rPr>
          <w:rFonts w:ascii="Times New Roman" w:hAnsi="Times New Roman"/>
          <w:sz w:val="22"/>
        </w:rPr>
      </w:pPr>
      <w:r>
        <w:rPr>
          <w:rFonts w:ascii="Times New Roman" w:hAnsi="Times New Roman"/>
          <w:sz w:val="22"/>
          <w:szCs w:val="22"/>
        </w:rPr>
        <w:t>La oferta se presentará en</w:t>
      </w:r>
      <w:r w:rsidR="00BB00FC">
        <w:rPr>
          <w:rFonts w:ascii="Times New Roman" w:hAnsi="Times New Roman"/>
          <w:sz w:val="22"/>
          <w:szCs w:val="22"/>
        </w:rPr>
        <w:t xml:space="preserve"> </w:t>
      </w:r>
      <w:r w:rsidR="00066FE4">
        <w:rPr>
          <w:rFonts w:ascii="Times New Roman" w:hAnsi="Times New Roman"/>
          <w:sz w:val="22"/>
          <w:szCs w:val="22"/>
        </w:rPr>
        <w:t>dólares</w:t>
      </w:r>
      <w:r>
        <w:rPr>
          <w:rFonts w:ascii="Times New Roman" w:hAnsi="Times New Roman"/>
          <w:sz w:val="22"/>
          <w:szCs w:val="22"/>
        </w:rPr>
        <w:t xml:space="preserve"> </w:t>
      </w:r>
    </w:p>
    <w:p w14:paraId="0AFF2F59" w14:textId="6E877222" w:rsidR="0047783A" w:rsidRPr="001A2BC4" w:rsidRDefault="00A633C6" w:rsidP="009956B4">
      <w:pPr>
        <w:pStyle w:val="Ttulo1"/>
      </w:pPr>
      <w:bookmarkStart w:id="10" w:name="_Toc42488076"/>
      <w:r>
        <w:t>7. Lotes</w:t>
      </w:r>
      <w:bookmarkEnd w:id="10"/>
    </w:p>
    <w:p w14:paraId="67DB3BD4" w14:textId="5EF1DDFA" w:rsidR="0047783A" w:rsidRPr="00E82463" w:rsidRDefault="0047783A" w:rsidP="00E82463">
      <w:pPr>
        <w:ind w:left="567"/>
        <w:jc w:val="both"/>
        <w:rPr>
          <w:rFonts w:ascii="Times New Roman" w:hAnsi="Times New Roman"/>
          <w:sz w:val="22"/>
        </w:rPr>
      </w:pPr>
      <w:r w:rsidRPr="00D05F37">
        <w:rPr>
          <w:rFonts w:ascii="Times New Roman" w:hAnsi="Times New Roman"/>
          <w:sz w:val="22"/>
        </w:rPr>
        <w:t>El presente procedimiento de licita</w:t>
      </w:r>
      <w:r w:rsidR="00D05F37" w:rsidRPr="00D05F37">
        <w:rPr>
          <w:rFonts w:ascii="Times New Roman" w:hAnsi="Times New Roman"/>
          <w:sz w:val="22"/>
        </w:rPr>
        <w:t>ción no está dividido en lotes</w:t>
      </w:r>
    </w:p>
    <w:p w14:paraId="6D535022" w14:textId="71C8CD35" w:rsidR="0047783A" w:rsidRPr="001A2BC4" w:rsidRDefault="00A633C6" w:rsidP="009956B4">
      <w:pPr>
        <w:pStyle w:val="Ttulo1"/>
      </w:pPr>
      <w:bookmarkStart w:id="11" w:name="_Toc42488077"/>
      <w:r>
        <w:t>8. Período de validez</w:t>
      </w:r>
      <w:bookmarkEnd w:id="11"/>
    </w:p>
    <w:p w14:paraId="30360BC8" w14:textId="77777777" w:rsidR="0047783A" w:rsidRPr="00E82463" w:rsidRDefault="0047783A" w:rsidP="0047783A">
      <w:pPr>
        <w:pStyle w:val="Ttulo2"/>
        <w:keepNext w:val="0"/>
        <w:tabs>
          <w:tab w:val="num" w:pos="567"/>
        </w:tabs>
        <w:ind w:left="567" w:hanging="567"/>
        <w:jc w:val="both"/>
        <w:rPr>
          <w:rFonts w:ascii="Times New Roman" w:hAnsi="Times New Roman"/>
          <w:sz w:val="22"/>
        </w:rPr>
      </w:pPr>
      <w:r>
        <w:rPr>
          <w:rFonts w:ascii="Times New Roman" w:hAnsi="Times New Roman"/>
          <w:sz w:val="22"/>
        </w:rPr>
        <w:t>8.1</w:t>
      </w:r>
      <w:r>
        <w:rPr>
          <w:rFonts w:ascii="Times New Roman" w:hAnsi="Times New Roman"/>
          <w:sz w:val="22"/>
        </w:rPr>
        <w:tab/>
        <w:t>Las ofertas seguirán vinculando a los licitadores durante un plazo de 90 días a contar desde la finalización del plazo de presentación de las ofertas.</w:t>
      </w:r>
    </w:p>
    <w:p w14:paraId="246ED2FF" w14:textId="77777777" w:rsidR="0047783A" w:rsidRPr="00E66FD7" w:rsidRDefault="0047783A" w:rsidP="0047783A">
      <w:pPr>
        <w:pStyle w:val="Ttulo2"/>
        <w:keepNext w:val="0"/>
        <w:tabs>
          <w:tab w:val="num" w:pos="567"/>
        </w:tabs>
        <w:ind w:left="567" w:hanging="567"/>
        <w:jc w:val="both"/>
        <w:rPr>
          <w:rFonts w:ascii="Times New Roman" w:hAnsi="Times New Roman"/>
          <w:sz w:val="22"/>
        </w:rPr>
      </w:pPr>
      <w:r>
        <w:rPr>
          <w:rFonts w:ascii="Times New Roman" w:hAnsi="Times New Roman"/>
          <w:sz w:val="22"/>
        </w:rPr>
        <w:t>8.2</w:t>
      </w:r>
      <w:r>
        <w:rPr>
          <w:rFonts w:ascii="Times New Roman" w:hAnsi="Times New Roman"/>
          <w:sz w:val="22"/>
        </w:rPr>
        <w:tab/>
        <w:t>En circunstancias excepcionales y antes de que expire el período de validez inicial previsto, el Órgano de Contratación puede solicitar por escrito a los licitadores una prórroga de ese plazo de una duración de 40 días. Estas solicitudes y las respuestas correspondientes se harán por escrito. Los licitadores que acepten esta solicitud no estarán autorizados a modificar su oferta y quedarán obligados a ampliar la validez de las garantías de licitación por el período revisado de validez de la oferta. En caso de rechazo, los licitadores dejarán de participar en el procedimiento de licitación sin perder las garantías de licitación. En caso de que se requiera al Órgano de Contratación que obtenga la recomendación del grupo de expertos a que se hace referencia en el apartado 2.6.10.1.1. de la Guía Práctica, el Órgano de Contratación podrá, antes de la expiración del período de validez, solicitar una prórroga de la validez de las ofertas hasta la adopción de la recomendación.</w:t>
      </w:r>
    </w:p>
    <w:p w14:paraId="4AA14439" w14:textId="77777777" w:rsidR="0047783A" w:rsidRPr="00E82463" w:rsidRDefault="0047783A" w:rsidP="00AC07D4">
      <w:pPr>
        <w:tabs>
          <w:tab w:val="num" w:pos="567"/>
        </w:tabs>
        <w:ind w:left="567" w:hanging="567"/>
        <w:jc w:val="both"/>
        <w:rPr>
          <w:rFonts w:ascii="Times New Roman" w:hAnsi="Times New Roman"/>
        </w:rPr>
      </w:pPr>
      <w:r>
        <w:rPr>
          <w:rFonts w:ascii="Times New Roman" w:hAnsi="Times New Roman"/>
          <w:sz w:val="22"/>
          <w:szCs w:val="22"/>
        </w:rPr>
        <w:t>8.3</w:t>
      </w:r>
      <w:r>
        <w:rPr>
          <w:rFonts w:ascii="Times New Roman" w:hAnsi="Times New Roman"/>
          <w:sz w:val="22"/>
          <w:szCs w:val="22"/>
        </w:rPr>
        <w:tab/>
        <w:t xml:space="preserve">La oferta vinculará al licitador seleccionado durante un período adicional de 60 días. </w:t>
      </w:r>
      <w:r>
        <w:rPr>
          <w:rFonts w:ascii="Times New Roman" w:hAnsi="Times New Roman"/>
          <w:sz w:val="22"/>
        </w:rPr>
        <w:t>El período adicional se añadirá al período de validez de la oferta independientemente de la fecha de notificación.</w:t>
      </w:r>
    </w:p>
    <w:p w14:paraId="27C31267" w14:textId="562313E7" w:rsidR="0047783A" w:rsidRPr="001A2BC4" w:rsidRDefault="00A633C6" w:rsidP="009956B4">
      <w:pPr>
        <w:pStyle w:val="Ttulo1"/>
      </w:pPr>
      <w:bookmarkStart w:id="12" w:name="_Ref500330462"/>
      <w:r>
        <w:t xml:space="preserve">9. </w:t>
      </w:r>
      <w:bookmarkStart w:id="13" w:name="_Toc42488078"/>
      <w:r>
        <w:t xml:space="preserve">Lengua de </w:t>
      </w:r>
      <w:bookmarkEnd w:id="13"/>
      <w:r>
        <w:t>las ofertas</w:t>
      </w:r>
    </w:p>
    <w:bookmarkEnd w:id="12"/>
    <w:p w14:paraId="01A5CF24" w14:textId="77777777" w:rsidR="0047783A" w:rsidRPr="00E82463" w:rsidRDefault="0047783A" w:rsidP="0047783A">
      <w:pPr>
        <w:pStyle w:val="Ttulo2"/>
        <w:keepNext w:val="0"/>
        <w:ind w:left="567" w:hanging="567"/>
        <w:jc w:val="both"/>
        <w:rPr>
          <w:rFonts w:ascii="Times New Roman" w:hAnsi="Times New Roman"/>
          <w:sz w:val="22"/>
        </w:rPr>
      </w:pPr>
      <w:r>
        <w:rPr>
          <w:rFonts w:ascii="Times New Roman" w:hAnsi="Times New Roman"/>
          <w:sz w:val="22"/>
        </w:rPr>
        <w:t>9.1</w:t>
      </w:r>
      <w:r>
        <w:rPr>
          <w:rFonts w:ascii="Times New Roman" w:hAnsi="Times New Roman"/>
          <w:sz w:val="22"/>
        </w:rPr>
        <w:tab/>
        <w:t>Las ofertas, toda la correspondencia y los documentos relacionados con las ofertas que se intercambien entre el licitador y el Órgano de Contratación se deberán redactar en la lengua del procedimiento que es el español.</w:t>
      </w:r>
    </w:p>
    <w:p w14:paraId="510843C3" w14:textId="77777777" w:rsidR="0047783A" w:rsidRPr="00E82463" w:rsidRDefault="0047783A" w:rsidP="0047783A">
      <w:pPr>
        <w:pStyle w:val="Ttulo2"/>
        <w:keepNext w:val="0"/>
        <w:ind w:left="567"/>
        <w:jc w:val="both"/>
        <w:rPr>
          <w:rFonts w:ascii="Times New Roman" w:hAnsi="Times New Roman"/>
          <w:sz w:val="22"/>
        </w:rPr>
      </w:pPr>
      <w:r>
        <w:rPr>
          <w:rFonts w:ascii="Times New Roman" w:hAnsi="Times New Roman"/>
          <w:sz w:val="22"/>
        </w:rPr>
        <w:t>Si los documentos justificativos no están redactados en una de las lenguas oficiales de la Unión Europea, deberá adjuntarse una traducción a la lengua del anuncio de contrato. Cuando los documentos estén redactados en una lengua oficial de la Unión Europea distinta del inglés, se recomienda encarecidamente adjuntar una traducción al inglés para facilitar la evaluación de los documentos.</w:t>
      </w:r>
    </w:p>
    <w:p w14:paraId="451C65B5" w14:textId="489964BE" w:rsidR="0047783A" w:rsidRPr="001A2BC4" w:rsidRDefault="00A633C6" w:rsidP="009956B4">
      <w:pPr>
        <w:pStyle w:val="Ttulo1"/>
      </w:pPr>
      <w:bookmarkStart w:id="14" w:name="_Toc42488079"/>
      <w:r>
        <w:t>10. Presentación de las ofertas</w:t>
      </w:r>
      <w:bookmarkEnd w:id="14"/>
    </w:p>
    <w:p w14:paraId="6D76BC33" w14:textId="3C457433" w:rsidR="0047783A" w:rsidRPr="00CA34BB" w:rsidRDefault="0047783A" w:rsidP="009D5CB2">
      <w:pPr>
        <w:pStyle w:val="Ttulo2"/>
        <w:keepNext w:val="0"/>
        <w:ind w:left="567"/>
        <w:jc w:val="both"/>
        <w:rPr>
          <w:rFonts w:ascii="Times New Roman" w:hAnsi="Times New Roman"/>
          <w:sz w:val="22"/>
        </w:rPr>
      </w:pPr>
      <w:bookmarkStart w:id="15" w:name="_Ref500326737"/>
      <w:r w:rsidRPr="00CA34BB">
        <w:rPr>
          <w:rFonts w:ascii="Times New Roman" w:hAnsi="Times New Roman"/>
          <w:b/>
          <w:sz w:val="22"/>
        </w:rPr>
        <w:t>El Órgano de Contratación deberá recibir las ofertas antes del plazo indicado en el anuncio de contrato.</w:t>
      </w:r>
      <w:r w:rsidRPr="00CA34BB">
        <w:rPr>
          <w:rFonts w:ascii="Times New Roman" w:hAnsi="Times New Roman"/>
          <w:sz w:val="22"/>
        </w:rPr>
        <w:t xml:space="preserve"> Deben incluir todos los documentos especificados en el punto 11 de estas Instrucciones, y se han de enviar a la dirección siguiente:</w:t>
      </w:r>
    </w:p>
    <w:bookmarkEnd w:id="15"/>
    <w:p w14:paraId="72B76D70" w14:textId="3A9DB48A" w:rsidR="003F2375" w:rsidRPr="00BB00FC" w:rsidRDefault="00BB00FC" w:rsidP="0063394C">
      <w:pPr>
        <w:pStyle w:val="Blockquote"/>
        <w:keepNext/>
        <w:keepLines/>
        <w:spacing w:before="120" w:after="120"/>
        <w:jc w:val="both"/>
        <w:rPr>
          <w:rFonts w:ascii="Times New Roman" w:hAnsi="Times New Roman"/>
        </w:rPr>
      </w:pPr>
      <w:r w:rsidRPr="00BB00FC">
        <w:rPr>
          <w:rFonts w:ascii="Times New Roman" w:hAnsi="Times New Roman"/>
        </w:rPr>
        <w:t>Avenida Gaona 4719 5to. J</w:t>
      </w:r>
      <w:r>
        <w:rPr>
          <w:rFonts w:ascii="Times New Roman" w:hAnsi="Times New Roman"/>
        </w:rPr>
        <w:t>, Ciudad Autónoma de Buenos Aires</w:t>
      </w:r>
      <w:r w:rsidR="0063394C">
        <w:rPr>
          <w:rFonts w:ascii="Times New Roman" w:hAnsi="Times New Roman"/>
        </w:rPr>
        <w:t>, en horario de 10 am a 15 pm</w:t>
      </w:r>
    </w:p>
    <w:p w14:paraId="7B497B06" w14:textId="77777777" w:rsidR="006F3B41" w:rsidRPr="00C64A27" w:rsidRDefault="0047783A" w:rsidP="006F3B41">
      <w:pPr>
        <w:ind w:left="567"/>
        <w:jc w:val="both"/>
        <w:rPr>
          <w:rFonts w:ascii="Times New Roman" w:hAnsi="Times New Roman"/>
          <w:sz w:val="22"/>
        </w:rPr>
      </w:pPr>
      <w:r w:rsidRPr="00C64A27">
        <w:rPr>
          <w:rFonts w:ascii="Times New Roman" w:hAnsi="Times New Roman"/>
          <w:sz w:val="22"/>
        </w:rPr>
        <w:t>Las ofertas se deberán atener a las condiciones siguientes:</w:t>
      </w:r>
      <w:bookmarkStart w:id="16" w:name="_Ref500330141"/>
    </w:p>
    <w:p w14:paraId="02D31055" w14:textId="12DFFEB1" w:rsidR="006F3B41" w:rsidRPr="00C64A27" w:rsidRDefault="0047783A" w:rsidP="006F3B41">
      <w:pPr>
        <w:ind w:left="567" w:hanging="567"/>
        <w:jc w:val="both"/>
        <w:rPr>
          <w:rFonts w:ascii="Times New Roman" w:hAnsi="Times New Roman"/>
          <w:sz w:val="22"/>
        </w:rPr>
      </w:pPr>
      <w:r w:rsidRPr="00C64A27">
        <w:rPr>
          <w:rFonts w:ascii="Times New Roman" w:hAnsi="Times New Roman"/>
          <w:sz w:val="22"/>
        </w:rPr>
        <w:lastRenderedPageBreak/>
        <w:t>10.2</w:t>
      </w:r>
      <w:r w:rsidRPr="00C64A27">
        <w:rPr>
          <w:rFonts w:ascii="Times New Roman" w:hAnsi="Times New Roman"/>
          <w:sz w:val="22"/>
        </w:rPr>
        <w:tab/>
        <w:t xml:space="preserve">Las ofertas deberán presentarse en un original único, en el que se indicará la mención «original» y </w:t>
      </w:r>
      <w:r w:rsidR="00C64A27" w:rsidRPr="00C64A27">
        <w:rPr>
          <w:rFonts w:ascii="Times New Roman" w:hAnsi="Times New Roman"/>
          <w:sz w:val="22"/>
        </w:rPr>
        <w:t>una copia firmada</w:t>
      </w:r>
      <w:r w:rsidRPr="00C64A27">
        <w:rPr>
          <w:rFonts w:ascii="Times New Roman" w:hAnsi="Times New Roman"/>
          <w:sz w:val="22"/>
        </w:rPr>
        <w:t xml:space="preserve"> del mismo modo que el original y con la mención «copia». </w:t>
      </w:r>
      <w:bookmarkEnd w:id="16"/>
    </w:p>
    <w:p w14:paraId="54AADAAD" w14:textId="77777777" w:rsidR="006F3B41" w:rsidRDefault="0047783A" w:rsidP="006F3B41">
      <w:pPr>
        <w:ind w:left="567" w:hanging="567"/>
        <w:jc w:val="both"/>
        <w:rPr>
          <w:rFonts w:ascii="Times New Roman" w:hAnsi="Times New Roman"/>
          <w:sz w:val="22"/>
        </w:rPr>
      </w:pPr>
      <w:r w:rsidRPr="00C64A27">
        <w:rPr>
          <w:rFonts w:ascii="Times New Roman" w:hAnsi="Times New Roman"/>
          <w:sz w:val="22"/>
        </w:rPr>
        <w:t>10.3</w:t>
      </w:r>
      <w:r w:rsidRPr="00C64A27">
        <w:rPr>
          <w:rFonts w:ascii="Times New Roman" w:hAnsi="Times New Roman"/>
          <w:sz w:val="22"/>
        </w:rPr>
        <w:tab/>
        <w:t>Las ofertas deben presentarse:</w:t>
      </w:r>
    </w:p>
    <w:p w14:paraId="609D66F8" w14:textId="77777777" w:rsidR="006F3B41" w:rsidRPr="00C64A27" w:rsidRDefault="0086759F" w:rsidP="006F3B41">
      <w:pPr>
        <w:ind w:left="567"/>
        <w:jc w:val="both"/>
        <w:rPr>
          <w:rFonts w:ascii="Times New Roman" w:hAnsi="Times New Roman"/>
          <w:sz w:val="22"/>
        </w:rPr>
      </w:pPr>
      <w:r>
        <w:rPr>
          <w:rFonts w:ascii="Times New Roman" w:hAnsi="Times New Roman"/>
          <w:sz w:val="22"/>
        </w:rPr>
        <w:tab/>
      </w:r>
      <w:r w:rsidRPr="00C64A27">
        <w:rPr>
          <w:rFonts w:ascii="Times New Roman" w:hAnsi="Times New Roman"/>
          <w:sz w:val="22"/>
        </w:rPr>
        <w:t>a) por correo o por servicio de mensajería, en cuyo caso dará fe de la presentación el matasellos de correos o la fecha del recibo del depósito</w:t>
      </w:r>
      <w:r w:rsidR="00803383" w:rsidRPr="00C64A27">
        <w:rPr>
          <w:rStyle w:val="Refdenotaalpie"/>
          <w:rFonts w:ascii="Times New Roman" w:hAnsi="Times New Roman"/>
          <w:sz w:val="22"/>
          <w:szCs w:val="22"/>
          <w:lang w:val="en-US"/>
        </w:rPr>
        <w:footnoteReference w:id="2"/>
      </w:r>
      <w:r w:rsidRPr="00C64A27">
        <w:rPr>
          <w:rFonts w:ascii="Times New Roman" w:hAnsi="Times New Roman"/>
          <w:sz w:val="22"/>
        </w:rPr>
        <w:t>;</w:t>
      </w:r>
    </w:p>
    <w:p w14:paraId="3D364392" w14:textId="12C31230" w:rsidR="0086759F" w:rsidRPr="00C64A27" w:rsidRDefault="0086759F" w:rsidP="006F3B41">
      <w:pPr>
        <w:ind w:left="567"/>
        <w:jc w:val="both"/>
        <w:rPr>
          <w:rFonts w:ascii="Times New Roman" w:hAnsi="Times New Roman"/>
          <w:sz w:val="22"/>
        </w:rPr>
      </w:pPr>
      <w:r w:rsidRPr="00C64A27">
        <w:rPr>
          <w:rFonts w:ascii="Times New Roman" w:hAnsi="Times New Roman"/>
          <w:sz w:val="22"/>
        </w:rPr>
        <w:tab/>
        <w:t xml:space="preserve">b) bien mediante entrega en mano en los locales del Órgano de Contratación personalmente por el licitador o candidato o por un agente, en cuyo caso dará fe de la presentación el acuse de recibo. </w:t>
      </w:r>
    </w:p>
    <w:p w14:paraId="65CB01B1" w14:textId="389307B7" w:rsidR="008B2A9C" w:rsidRPr="00C64A27" w:rsidRDefault="008B2A9C" w:rsidP="009956B4">
      <w:pPr>
        <w:pStyle w:val="Ttulo2"/>
        <w:keepNext w:val="0"/>
        <w:ind w:left="567"/>
        <w:jc w:val="both"/>
        <w:rPr>
          <w:rFonts w:ascii="Times New Roman" w:hAnsi="Times New Roman"/>
          <w:sz w:val="22"/>
        </w:rPr>
      </w:pPr>
      <w:r w:rsidRPr="00C64A27">
        <w:rPr>
          <w:rFonts w:ascii="Times New Roman" w:hAnsi="Times New Roman"/>
          <w:sz w:val="22"/>
        </w:rPr>
        <w:t>Por motivos de eficacia administrativa, el Órgano de Contratación podrá rechazar cualquier solicitud u oferta presentada a tiempo al servicio postal pero recibida, por cualquier motivo que quede fuera del control del Órgano de Contratación, después de la fecha efectiva de aprobación del informe de preselección o del informe de evaluación, en caso de que la aceptación de solicitudes u ofertas presentadas a tiempo, pero que hayan llegado tarde retrase considerablemente el procedimiento de evaluación u obstaculice las decisiones ya adoptadas y notificadas.</w:t>
      </w:r>
    </w:p>
    <w:p w14:paraId="380CD258" w14:textId="221C1B16" w:rsidR="0047783A" w:rsidRPr="00C64A27" w:rsidRDefault="0047783A" w:rsidP="009956B4">
      <w:pPr>
        <w:pStyle w:val="Ttulo2"/>
        <w:keepNext w:val="0"/>
        <w:ind w:left="567" w:hanging="567"/>
        <w:jc w:val="both"/>
        <w:rPr>
          <w:rFonts w:ascii="Times New Roman" w:hAnsi="Times New Roman"/>
          <w:sz w:val="22"/>
        </w:rPr>
      </w:pPr>
      <w:r>
        <w:rPr>
          <w:rFonts w:ascii="Times New Roman" w:hAnsi="Times New Roman"/>
          <w:sz w:val="22"/>
        </w:rPr>
        <w:t>10.4</w:t>
      </w:r>
      <w:r>
        <w:rPr>
          <w:rFonts w:ascii="Times New Roman" w:hAnsi="Times New Roman"/>
          <w:sz w:val="22"/>
        </w:rPr>
        <w:tab/>
      </w:r>
      <w:r w:rsidRPr="00C64A27">
        <w:rPr>
          <w:rFonts w:ascii="Times New Roman" w:hAnsi="Times New Roman"/>
          <w:sz w:val="22"/>
        </w:rPr>
        <w:t>Las ofertas, incluidos sus anexos y los justificantes, deben presentarse en un sobre precintado en el que figure exclusivamente:</w:t>
      </w:r>
    </w:p>
    <w:p w14:paraId="5EEE5B26" w14:textId="77777777" w:rsidR="0047783A" w:rsidRPr="00C64A27" w:rsidRDefault="0047783A" w:rsidP="009956B4">
      <w:pPr>
        <w:pStyle w:val="Ttulo2"/>
        <w:keepNext w:val="0"/>
        <w:ind w:left="567"/>
        <w:jc w:val="both"/>
        <w:rPr>
          <w:rFonts w:ascii="Times New Roman" w:hAnsi="Times New Roman"/>
          <w:sz w:val="22"/>
        </w:rPr>
      </w:pPr>
      <w:r w:rsidRPr="00C64A27">
        <w:rPr>
          <w:rFonts w:ascii="Times New Roman" w:hAnsi="Times New Roman"/>
          <w:sz w:val="22"/>
        </w:rPr>
        <w:t>a)</w:t>
      </w:r>
      <w:r w:rsidRPr="00C64A27">
        <w:rPr>
          <w:rFonts w:ascii="Times New Roman" w:hAnsi="Times New Roman"/>
          <w:sz w:val="22"/>
        </w:rPr>
        <w:tab/>
        <w:t>la dirección antes citada;</w:t>
      </w:r>
    </w:p>
    <w:p w14:paraId="792BB132" w14:textId="78972A62" w:rsidR="0047783A" w:rsidRPr="009956B4" w:rsidRDefault="0047783A" w:rsidP="009956B4">
      <w:pPr>
        <w:pStyle w:val="Ttulo2"/>
        <w:keepNext w:val="0"/>
        <w:ind w:left="567"/>
        <w:jc w:val="both"/>
        <w:rPr>
          <w:rFonts w:ascii="Times New Roman" w:hAnsi="Times New Roman"/>
          <w:sz w:val="22"/>
        </w:rPr>
      </w:pPr>
      <w:r w:rsidRPr="00C64A27">
        <w:rPr>
          <w:rFonts w:ascii="Times New Roman" w:hAnsi="Times New Roman"/>
          <w:sz w:val="22"/>
        </w:rPr>
        <w:t>b)</w:t>
      </w:r>
      <w:r w:rsidRPr="00C64A27">
        <w:rPr>
          <w:rFonts w:ascii="Times New Roman" w:hAnsi="Times New Roman"/>
          <w:sz w:val="22"/>
        </w:rPr>
        <w:tab/>
        <w:t>el código de referencia de la presente licitación (es decir,</w:t>
      </w:r>
      <w:r>
        <w:rPr>
          <w:rFonts w:ascii="Times New Roman" w:hAnsi="Times New Roman"/>
          <w:sz w:val="22"/>
        </w:rPr>
        <w:t xml:space="preserve"> la </w:t>
      </w:r>
      <w:r w:rsidR="00C64A27">
        <w:rPr>
          <w:rFonts w:ascii="Times New Roman" w:hAnsi="Times New Roman"/>
          <w:sz w:val="22"/>
        </w:rPr>
        <w:t>referencia (</w:t>
      </w:r>
      <w:r w:rsidR="00C64A27">
        <w:rPr>
          <w:sz w:val="22"/>
          <w:szCs w:val="22"/>
        </w:rPr>
        <w:t>NDICI LA/2022/439-772-</w:t>
      </w:r>
      <w:r w:rsidR="00C64A27" w:rsidRPr="001B1182">
        <w:rPr>
          <w:sz w:val="22"/>
          <w:szCs w:val="22"/>
        </w:rPr>
        <w:t>OPSYS PC-23337 FAA</w:t>
      </w:r>
      <w:r>
        <w:rPr>
          <w:rFonts w:ascii="Times New Roman" w:hAnsi="Times New Roman"/>
          <w:sz w:val="22"/>
        </w:rPr>
        <w:t>);</w:t>
      </w:r>
    </w:p>
    <w:p w14:paraId="1C39B6B0" w14:textId="77777777" w:rsidR="0047783A" w:rsidRPr="00C64A27" w:rsidRDefault="0047783A" w:rsidP="009956B4">
      <w:pPr>
        <w:pStyle w:val="Ttulo2"/>
        <w:keepNext w:val="0"/>
        <w:ind w:left="567"/>
        <w:jc w:val="both"/>
        <w:rPr>
          <w:rFonts w:ascii="Times New Roman" w:hAnsi="Times New Roman"/>
          <w:sz w:val="22"/>
        </w:rPr>
      </w:pPr>
      <w:r w:rsidRPr="00C64A27">
        <w:rPr>
          <w:rFonts w:ascii="Times New Roman" w:hAnsi="Times New Roman"/>
          <w:sz w:val="22"/>
        </w:rPr>
        <w:t>c)</w:t>
      </w:r>
      <w:r w:rsidRPr="00C64A27">
        <w:rPr>
          <w:rFonts w:ascii="Times New Roman" w:hAnsi="Times New Roman"/>
          <w:sz w:val="22"/>
        </w:rPr>
        <w:tab/>
        <w:t>si procede, el número del lote o lotes para los que se presenta una oferta;</w:t>
      </w:r>
    </w:p>
    <w:p w14:paraId="6D224A96" w14:textId="019049F0" w:rsidR="0047783A" w:rsidRPr="00C64A27" w:rsidRDefault="0047783A" w:rsidP="009956B4">
      <w:pPr>
        <w:pStyle w:val="Ttulo2"/>
        <w:keepNext w:val="0"/>
        <w:ind w:left="1418" w:hanging="851"/>
        <w:jc w:val="both"/>
        <w:rPr>
          <w:rFonts w:ascii="Times New Roman" w:hAnsi="Times New Roman"/>
          <w:sz w:val="22"/>
        </w:rPr>
      </w:pPr>
      <w:r w:rsidRPr="00C64A27">
        <w:rPr>
          <w:rFonts w:ascii="Times New Roman" w:hAnsi="Times New Roman"/>
          <w:sz w:val="22"/>
        </w:rPr>
        <w:t>d)</w:t>
      </w:r>
      <w:r w:rsidRPr="00C64A27">
        <w:rPr>
          <w:rFonts w:ascii="Times New Roman" w:hAnsi="Times New Roman"/>
          <w:sz w:val="22"/>
        </w:rPr>
        <w:tab/>
        <w:t>la mención «No abrir antes de la sesión de apertura de plicas», escrita en la lengu</w:t>
      </w:r>
      <w:r w:rsidR="00C64A27" w:rsidRPr="00C64A27">
        <w:rPr>
          <w:rFonts w:ascii="Times New Roman" w:hAnsi="Times New Roman"/>
          <w:sz w:val="22"/>
        </w:rPr>
        <w:t>a del expediente de licitación</w:t>
      </w:r>
      <w:r w:rsidRPr="00C64A27">
        <w:rPr>
          <w:rFonts w:ascii="Times New Roman" w:hAnsi="Times New Roman"/>
          <w:sz w:val="22"/>
        </w:rPr>
        <w:t>;</w:t>
      </w:r>
    </w:p>
    <w:p w14:paraId="579455BA" w14:textId="77777777" w:rsidR="0047783A" w:rsidRPr="00C64A27" w:rsidRDefault="0047783A" w:rsidP="009956B4">
      <w:pPr>
        <w:pStyle w:val="Ttulo2"/>
        <w:keepNext w:val="0"/>
        <w:ind w:left="567"/>
        <w:jc w:val="both"/>
        <w:rPr>
          <w:rFonts w:ascii="Times New Roman" w:hAnsi="Times New Roman"/>
          <w:sz w:val="22"/>
        </w:rPr>
      </w:pPr>
      <w:r w:rsidRPr="00C64A27">
        <w:rPr>
          <w:rFonts w:ascii="Times New Roman" w:hAnsi="Times New Roman"/>
          <w:sz w:val="22"/>
        </w:rPr>
        <w:t>e)</w:t>
      </w:r>
      <w:r w:rsidRPr="00C64A27">
        <w:rPr>
          <w:rFonts w:ascii="Times New Roman" w:hAnsi="Times New Roman"/>
          <w:sz w:val="22"/>
        </w:rPr>
        <w:tab/>
        <w:t>el nombre del licitador.</w:t>
      </w:r>
    </w:p>
    <w:p w14:paraId="70A99683" w14:textId="78EE8B71" w:rsidR="0047783A" w:rsidRPr="00C64A27" w:rsidRDefault="0047783A" w:rsidP="009956B4">
      <w:pPr>
        <w:pStyle w:val="Ttulo2"/>
        <w:keepNext w:val="0"/>
        <w:ind w:left="567"/>
        <w:jc w:val="both"/>
        <w:rPr>
          <w:rFonts w:ascii="Times New Roman" w:hAnsi="Times New Roman"/>
          <w:sz w:val="22"/>
        </w:rPr>
      </w:pPr>
      <w:r w:rsidRPr="00C64A27">
        <w:rPr>
          <w:rFonts w:ascii="Times New Roman" w:hAnsi="Times New Roman"/>
          <w:sz w:val="22"/>
        </w:rPr>
        <w:t>Las ofertas técnica y financiera deberán incluirse en un único sobre precintado. Este sobre se introducirá a su vez en otro sobre o paquete único precintado, a menos que su volumen obligue a hacer un enví</w:t>
      </w:r>
      <w:r w:rsidR="00C64A27" w:rsidRPr="00C64A27">
        <w:rPr>
          <w:rFonts w:ascii="Times New Roman" w:hAnsi="Times New Roman"/>
          <w:sz w:val="22"/>
        </w:rPr>
        <w:t>o independiente para cada lote.</w:t>
      </w:r>
    </w:p>
    <w:p w14:paraId="5D07CC26" w14:textId="76DEB0B8" w:rsidR="0047783A" w:rsidRPr="001A2BC4" w:rsidRDefault="00A633C6" w:rsidP="009956B4">
      <w:pPr>
        <w:pStyle w:val="Ttulo1"/>
      </w:pPr>
      <w:bookmarkStart w:id="17" w:name="_Toc42488080"/>
      <w:r>
        <w:t>11. Contenido de las ofertas</w:t>
      </w:r>
      <w:bookmarkEnd w:id="17"/>
    </w:p>
    <w:p w14:paraId="0F2FBCDA" w14:textId="77777777" w:rsidR="0047783A" w:rsidRPr="00E82463" w:rsidRDefault="006D4CEC" w:rsidP="0047783A">
      <w:pPr>
        <w:spacing w:after="0"/>
        <w:ind w:left="567"/>
        <w:jc w:val="both"/>
        <w:outlineLvl w:val="0"/>
        <w:rPr>
          <w:rFonts w:ascii="Times New Roman" w:hAnsi="Times New Roman"/>
          <w:sz w:val="22"/>
          <w:szCs w:val="22"/>
        </w:rPr>
      </w:pPr>
      <w:r>
        <w:rPr>
          <w:rFonts w:ascii="Times New Roman" w:hAnsi="Times New Roman"/>
          <w:sz w:val="22"/>
          <w:szCs w:val="22"/>
        </w:rPr>
        <w:t>El incumplimiento de los siguientes requisitos constituirá una irregularidad y podrá dar lugar a la desestimación de la oferta. Las ofertas presentadas deben cumplir los requisitos establecidos en el expediente de licitación e incluir en particular:</w:t>
      </w:r>
    </w:p>
    <w:p w14:paraId="356CB204" w14:textId="77777777" w:rsidR="0047783A" w:rsidRPr="00E82463" w:rsidRDefault="0047783A" w:rsidP="00C348C0">
      <w:pPr>
        <w:keepNext/>
        <w:keepLines/>
        <w:ind w:left="567"/>
        <w:jc w:val="both"/>
        <w:outlineLvl w:val="0"/>
        <w:rPr>
          <w:rFonts w:ascii="Times New Roman" w:hAnsi="Times New Roman"/>
          <w:b/>
          <w:sz w:val="22"/>
          <w:szCs w:val="22"/>
        </w:rPr>
      </w:pPr>
      <w:r>
        <w:rPr>
          <w:rFonts w:ascii="Times New Roman" w:hAnsi="Times New Roman"/>
          <w:b/>
          <w:sz w:val="22"/>
          <w:szCs w:val="22"/>
        </w:rPr>
        <w:t>Parte 1: Oferta técnica:</w:t>
      </w:r>
    </w:p>
    <w:p w14:paraId="045FA2D1" w14:textId="32E0CE2C" w:rsidR="0047783A" w:rsidRPr="004D66B5" w:rsidRDefault="0047783A" w:rsidP="004D66B5">
      <w:pPr>
        <w:pStyle w:val="Ttulo2"/>
        <w:keepLines/>
        <w:numPr>
          <w:ilvl w:val="0"/>
          <w:numId w:val="6"/>
        </w:numPr>
        <w:tabs>
          <w:tab w:val="num" w:pos="1134"/>
        </w:tabs>
        <w:spacing w:before="0" w:after="0"/>
        <w:ind w:left="1135" w:hanging="568"/>
        <w:rPr>
          <w:rFonts w:ascii="Times New Roman" w:hAnsi="Times New Roman"/>
          <w:sz w:val="22"/>
          <w:szCs w:val="22"/>
        </w:rPr>
      </w:pPr>
      <w:r>
        <w:rPr>
          <w:rFonts w:ascii="Times New Roman" w:hAnsi="Times New Roman"/>
          <w:sz w:val="22"/>
          <w:szCs w:val="22"/>
        </w:rPr>
        <w:t>una descripción detallada de los suministros objeto de la licitación de conformidad con las especificaciones técnicas, inclu</w:t>
      </w:r>
      <w:r w:rsidR="004D66B5">
        <w:rPr>
          <w:rFonts w:ascii="Times New Roman" w:hAnsi="Times New Roman"/>
          <w:sz w:val="22"/>
          <w:szCs w:val="22"/>
        </w:rPr>
        <w:t>ida toda documentación exigida.</w:t>
      </w:r>
    </w:p>
    <w:p w14:paraId="63F5D5F5" w14:textId="77777777" w:rsidR="0047783A" w:rsidRPr="00E82463" w:rsidRDefault="0047783A" w:rsidP="0047783A">
      <w:pPr>
        <w:ind w:left="567"/>
        <w:rPr>
          <w:rFonts w:ascii="Times New Roman" w:hAnsi="Times New Roman"/>
          <w:sz w:val="22"/>
          <w:szCs w:val="22"/>
        </w:rPr>
      </w:pPr>
      <w:r>
        <w:rPr>
          <w:rFonts w:ascii="Times New Roman" w:hAnsi="Times New Roman"/>
          <w:sz w:val="22"/>
          <w:szCs w:val="22"/>
        </w:rPr>
        <w:t>La oferta técnica debe presentarse según el modelo (anexo II + III*, oferta técnica del contratista) añadiendo cuando proceda hojas separadas para los detalles.</w:t>
      </w:r>
    </w:p>
    <w:p w14:paraId="691E1462" w14:textId="77777777" w:rsidR="0047783A" w:rsidRPr="00E82463" w:rsidRDefault="0047783A" w:rsidP="0047783A">
      <w:pPr>
        <w:ind w:left="567"/>
        <w:jc w:val="both"/>
        <w:outlineLvl w:val="0"/>
        <w:rPr>
          <w:rFonts w:ascii="Times New Roman" w:hAnsi="Times New Roman"/>
          <w:b/>
          <w:sz w:val="22"/>
          <w:szCs w:val="22"/>
        </w:rPr>
      </w:pPr>
      <w:r>
        <w:rPr>
          <w:rFonts w:ascii="Times New Roman" w:hAnsi="Times New Roman"/>
          <w:b/>
          <w:sz w:val="22"/>
          <w:szCs w:val="22"/>
        </w:rPr>
        <w:t>Parte 2: Oferta financiera:</w:t>
      </w:r>
    </w:p>
    <w:p w14:paraId="36D89710" w14:textId="4136AE2D" w:rsidR="0047783A" w:rsidRPr="004D66B5" w:rsidRDefault="0047783A" w:rsidP="004D66B5">
      <w:pPr>
        <w:pStyle w:val="Ttulo2"/>
        <w:keepNext w:val="0"/>
        <w:numPr>
          <w:ilvl w:val="0"/>
          <w:numId w:val="6"/>
        </w:numPr>
        <w:tabs>
          <w:tab w:val="num" w:pos="1134"/>
        </w:tabs>
        <w:spacing w:before="0" w:after="0"/>
        <w:ind w:left="1135" w:hanging="568"/>
        <w:rPr>
          <w:rFonts w:ascii="Times New Roman" w:hAnsi="Times New Roman"/>
          <w:sz w:val="22"/>
          <w:szCs w:val="22"/>
        </w:rPr>
      </w:pPr>
      <w:r>
        <w:rPr>
          <w:rFonts w:ascii="Times New Roman" w:hAnsi="Times New Roman"/>
          <w:sz w:val="22"/>
          <w:szCs w:val="22"/>
        </w:rPr>
        <w:t>Una oferta finan</w:t>
      </w:r>
      <w:r w:rsidR="0063394C">
        <w:rPr>
          <w:rFonts w:ascii="Times New Roman" w:hAnsi="Times New Roman"/>
          <w:sz w:val="22"/>
          <w:szCs w:val="22"/>
        </w:rPr>
        <w:t xml:space="preserve">ciera calculada en condiciones </w:t>
      </w:r>
      <w:r w:rsidRPr="0063394C">
        <w:rPr>
          <w:rFonts w:ascii="Times New Roman" w:hAnsi="Times New Roman"/>
          <w:sz w:val="22"/>
          <w:szCs w:val="22"/>
        </w:rPr>
        <w:t>DDP</w:t>
      </w:r>
      <w:r>
        <w:rPr>
          <w:rFonts w:ascii="Times New Roman" w:hAnsi="Times New Roman"/>
          <w:sz w:val="22"/>
          <w:szCs w:val="22"/>
        </w:rPr>
        <w:t xml:space="preserve"> para los suministros ofrecidos, que incluya si procede:</w:t>
      </w:r>
    </w:p>
    <w:p w14:paraId="2DD52D8C" w14:textId="1B2B3B9D" w:rsidR="005F7DC0" w:rsidRPr="0063394C" w:rsidRDefault="0047783A" w:rsidP="004D66B5">
      <w:pPr>
        <w:numPr>
          <w:ilvl w:val="1"/>
          <w:numId w:val="10"/>
        </w:numPr>
        <w:spacing w:after="0"/>
        <w:ind w:hanging="306"/>
        <w:rPr>
          <w:rFonts w:ascii="Times New Roman" w:hAnsi="Times New Roman"/>
          <w:sz w:val="22"/>
          <w:szCs w:val="22"/>
        </w:rPr>
      </w:pPr>
      <w:r w:rsidRPr="0063394C">
        <w:rPr>
          <w:rFonts w:ascii="Times New Roman" w:hAnsi="Times New Roman"/>
          <w:sz w:val="22"/>
          <w:szCs w:val="22"/>
        </w:rPr>
        <w:t>la propuesta financiera</w:t>
      </w:r>
      <w:r w:rsidRPr="0063394C">
        <w:rPr>
          <w:rFonts w:ascii="Times New Roman" w:hAnsi="Times New Roman"/>
          <w:color w:val="339966"/>
          <w:sz w:val="22"/>
          <w:szCs w:val="22"/>
        </w:rPr>
        <w:t xml:space="preserve"> </w:t>
      </w:r>
      <w:r w:rsidRPr="0063394C">
        <w:rPr>
          <w:rFonts w:ascii="Times New Roman" w:hAnsi="Times New Roman"/>
          <w:sz w:val="22"/>
          <w:szCs w:val="22"/>
        </w:rPr>
        <w:t xml:space="preserve">para los servicios posventa </w:t>
      </w:r>
      <w:r w:rsidR="0063394C" w:rsidRPr="0063394C">
        <w:rPr>
          <w:rFonts w:ascii="Times New Roman" w:hAnsi="Times New Roman"/>
          <w:sz w:val="22"/>
          <w:szCs w:val="22"/>
        </w:rPr>
        <w:t xml:space="preserve">durante 1 </w:t>
      </w:r>
      <w:r w:rsidRPr="0063394C">
        <w:rPr>
          <w:rFonts w:ascii="Times New Roman" w:hAnsi="Times New Roman"/>
          <w:sz w:val="22"/>
          <w:szCs w:val="22"/>
        </w:rPr>
        <w:t>año;</w:t>
      </w:r>
    </w:p>
    <w:p w14:paraId="664111AC" w14:textId="631FF7FA" w:rsidR="0047783A" w:rsidRDefault="0047783A" w:rsidP="0047783A">
      <w:pPr>
        <w:spacing w:after="0"/>
        <w:ind w:left="567"/>
        <w:rPr>
          <w:rFonts w:ascii="Times New Roman" w:hAnsi="Times New Roman"/>
          <w:sz w:val="22"/>
          <w:szCs w:val="22"/>
        </w:rPr>
      </w:pPr>
      <w:r>
        <w:rPr>
          <w:rFonts w:ascii="Times New Roman" w:hAnsi="Times New Roman"/>
          <w:sz w:val="22"/>
          <w:szCs w:val="22"/>
        </w:rPr>
        <w:t>La oferta financiera debe presentarse según el modelo (anexo IV*, desglose presupuestario) añadiendo cuando proceda hojas separadas para los detalles.</w:t>
      </w:r>
    </w:p>
    <w:p w14:paraId="24850A15" w14:textId="77777777" w:rsidR="00D85561" w:rsidRPr="001A2BC4" w:rsidRDefault="00D85561" w:rsidP="006E226A">
      <w:pPr>
        <w:pStyle w:val="Text1"/>
        <w:pBdr>
          <w:top w:val="single" w:sz="4" w:space="1" w:color="auto"/>
          <w:left w:val="single" w:sz="4" w:space="4" w:color="auto"/>
          <w:bottom w:val="single" w:sz="4" w:space="1" w:color="auto"/>
          <w:right w:val="single" w:sz="4" w:space="4" w:color="auto"/>
        </w:pBdr>
        <w:rPr>
          <w:b/>
          <w:sz w:val="22"/>
        </w:rPr>
      </w:pPr>
      <w:r>
        <w:rPr>
          <w:sz w:val="22"/>
        </w:rPr>
        <w:lastRenderedPageBreak/>
        <w:t>En caso de duda sobre el régimen de IVA aplicable, el licitador deberá ponerse en contacto con las autoridades nacionales de su país para aclarar cómo se exime a la Unión Europea del pago de este impuesto.</w:t>
      </w:r>
    </w:p>
    <w:p w14:paraId="3A6CE24F" w14:textId="77777777" w:rsidR="0047783A" w:rsidRPr="00E82463" w:rsidRDefault="0047783A" w:rsidP="00C348C0">
      <w:pPr>
        <w:keepNext/>
        <w:keepLines/>
        <w:spacing w:after="0"/>
        <w:ind w:left="567"/>
        <w:rPr>
          <w:rFonts w:ascii="Times New Roman" w:hAnsi="Times New Roman"/>
          <w:b/>
          <w:sz w:val="22"/>
          <w:szCs w:val="22"/>
        </w:rPr>
      </w:pPr>
      <w:r>
        <w:rPr>
          <w:rFonts w:ascii="Times New Roman" w:hAnsi="Times New Roman"/>
          <w:b/>
          <w:sz w:val="22"/>
          <w:szCs w:val="22"/>
        </w:rPr>
        <w:t>Parte 3: Documentación:</w:t>
      </w:r>
    </w:p>
    <w:p w14:paraId="4F5E2FB4" w14:textId="77777777" w:rsidR="004D66B5" w:rsidRDefault="0047783A" w:rsidP="004D66B5">
      <w:pPr>
        <w:keepNext/>
        <w:keepLines/>
        <w:tabs>
          <w:tab w:val="left" w:pos="993"/>
        </w:tabs>
        <w:spacing w:after="0"/>
        <w:ind w:left="567"/>
        <w:rPr>
          <w:rFonts w:ascii="Times New Roman" w:hAnsi="Times New Roman"/>
          <w:sz w:val="22"/>
          <w:szCs w:val="22"/>
        </w:rPr>
      </w:pPr>
      <w:r>
        <w:rPr>
          <w:rFonts w:ascii="Times New Roman" w:hAnsi="Times New Roman"/>
          <w:sz w:val="22"/>
          <w:szCs w:val="22"/>
        </w:rPr>
        <w:t>Deberá presentarse utilizando los modelos adjuntos*:</w:t>
      </w:r>
    </w:p>
    <w:p w14:paraId="48BD6B49" w14:textId="2A746BF4" w:rsidR="00405BF8" w:rsidRPr="00E45107" w:rsidRDefault="00405BF8" w:rsidP="004D66B5">
      <w:pPr>
        <w:keepNext/>
        <w:keepLines/>
        <w:tabs>
          <w:tab w:val="left" w:pos="993"/>
        </w:tabs>
        <w:spacing w:after="0"/>
        <w:ind w:left="567"/>
        <w:rPr>
          <w:rFonts w:ascii="Times New Roman" w:hAnsi="Times New Roman"/>
          <w:sz w:val="22"/>
          <w:szCs w:val="22"/>
        </w:rPr>
      </w:pPr>
      <w:r>
        <w:rPr>
          <w:rFonts w:ascii="Times New Roman" w:hAnsi="Times New Roman"/>
          <w:sz w:val="22"/>
          <w:szCs w:val="22"/>
          <w:highlight w:val="lightGray"/>
        </w:rPr>
        <w:t xml:space="preserve"> </w:t>
      </w:r>
    </w:p>
    <w:p w14:paraId="2286F8CA" w14:textId="49628CFE" w:rsidR="0047783A" w:rsidRPr="00DF724F" w:rsidRDefault="0047783A" w:rsidP="00673B18">
      <w:pPr>
        <w:numPr>
          <w:ilvl w:val="0"/>
          <w:numId w:val="6"/>
        </w:numPr>
        <w:tabs>
          <w:tab w:val="num" w:pos="851"/>
        </w:tabs>
        <w:ind w:left="851"/>
        <w:jc w:val="both"/>
        <w:rPr>
          <w:rFonts w:ascii="Times New Roman" w:hAnsi="Times New Roman"/>
          <w:sz w:val="22"/>
          <w:szCs w:val="22"/>
        </w:rPr>
      </w:pPr>
      <w:r w:rsidRPr="00DF724F">
        <w:rPr>
          <w:rFonts w:ascii="Times New Roman" w:hAnsi="Times New Roman"/>
          <w:sz w:val="22"/>
          <w:szCs w:val="22"/>
        </w:rPr>
        <w:t xml:space="preserve">El «Formulario de presentación de una oferta para un contrato de suministros», junto con el anexo 1, </w:t>
      </w:r>
      <w:r w:rsidRPr="00DF724F">
        <w:rPr>
          <w:rFonts w:ascii="Times New Roman" w:hAnsi="Times New Roman"/>
          <w:b/>
          <w:bCs/>
          <w:sz w:val="22"/>
          <w:szCs w:val="22"/>
        </w:rPr>
        <w:t>«Declaración jurada sobre los criterios de exclusión y los criterios de selección»</w:t>
      </w:r>
      <w:r w:rsidRPr="00DF724F">
        <w:rPr>
          <w:rFonts w:ascii="Times New Roman" w:hAnsi="Times New Roman"/>
          <w:sz w:val="22"/>
          <w:szCs w:val="22"/>
        </w:rPr>
        <w:t>, debidamente completados, que incluya la declaración del licitador, punto 7 (de cada miembro en el caso de un consorcio</w:t>
      </w:r>
      <w:r w:rsidR="00164235" w:rsidRPr="00DF724F">
        <w:rPr>
          <w:rFonts w:ascii="Times New Roman" w:hAnsi="Times New Roman"/>
          <w:sz w:val="22"/>
          <w:szCs w:val="22"/>
        </w:rPr>
        <w:t>, entidades suministradoras de capacidad o subcontratistas (de haberlos)</w:t>
      </w:r>
      <w:r w:rsidRPr="00DF724F">
        <w:rPr>
          <w:rFonts w:ascii="Times New Roman" w:hAnsi="Times New Roman"/>
          <w:sz w:val="22"/>
          <w:szCs w:val="22"/>
        </w:rPr>
        <w:t>: Se presentará una copia de la declaración original firmada. El licitador deberá conservar el original, que podrá ser solicitado</w:t>
      </w:r>
      <w:r w:rsidR="00DF724F">
        <w:rPr>
          <w:rFonts w:ascii="Times New Roman" w:hAnsi="Times New Roman"/>
          <w:sz w:val="22"/>
          <w:szCs w:val="22"/>
        </w:rPr>
        <w:t xml:space="preserve"> por el Órgano de Contratación</w:t>
      </w:r>
    </w:p>
    <w:p w14:paraId="2F0314E8" w14:textId="77777777" w:rsidR="0047783A" w:rsidRPr="00E82463" w:rsidRDefault="0047783A" w:rsidP="007C6835">
      <w:pPr>
        <w:numPr>
          <w:ilvl w:val="0"/>
          <w:numId w:val="6"/>
        </w:numPr>
        <w:spacing w:before="0" w:after="240"/>
        <w:jc w:val="both"/>
        <w:rPr>
          <w:rFonts w:ascii="Times New Roman" w:hAnsi="Times New Roman"/>
          <w:sz w:val="22"/>
          <w:szCs w:val="22"/>
        </w:rPr>
      </w:pPr>
      <w:r>
        <w:rPr>
          <w:rFonts w:ascii="Times New Roman" w:hAnsi="Times New Roman"/>
          <w:sz w:val="22"/>
          <w:szCs w:val="22"/>
        </w:rPr>
        <w:t>Los datos de la cuenta bancaria en la que deban efectuarse los pagos (ficha de identificación financiera – documento c4o1_fif_es)</w:t>
      </w:r>
      <w:r>
        <w:rPr>
          <w:rFonts w:ascii="Times New Roman" w:hAnsi="Times New Roman"/>
        </w:rPr>
        <w:t xml:space="preserve"> (</w:t>
      </w:r>
      <w:r>
        <w:rPr>
          <w:rFonts w:ascii="Times New Roman" w:hAnsi="Times New Roman"/>
          <w:sz w:val="22"/>
          <w:szCs w:val="22"/>
        </w:rPr>
        <w:t>los licitadores que ya hayan firmado otro contrato con la Comisión Europea podrán proporcionar en vez de la ficha de identificación financiera, bien su número de ficha de identificación financiera o una copia de la ficha de identificación financiera proporcionada para esa ocasión, si no se han producido cambios mientras tanto).</w:t>
      </w:r>
    </w:p>
    <w:p w14:paraId="2445D29D" w14:textId="77777777" w:rsidR="0047783A" w:rsidRPr="00E82463" w:rsidRDefault="0047783A" w:rsidP="007C6835">
      <w:pPr>
        <w:numPr>
          <w:ilvl w:val="0"/>
          <w:numId w:val="6"/>
        </w:numPr>
        <w:jc w:val="both"/>
        <w:rPr>
          <w:rFonts w:ascii="Times New Roman" w:hAnsi="Times New Roman"/>
          <w:sz w:val="22"/>
          <w:szCs w:val="22"/>
        </w:rPr>
      </w:pPr>
      <w:r>
        <w:rPr>
          <w:rFonts w:ascii="Times New Roman" w:hAnsi="Times New Roman"/>
          <w:sz w:val="22"/>
          <w:szCs w:val="22"/>
        </w:rPr>
        <w:t>La ficha de entidad legal (documento c4o2_lefind_es) y los justificantes (los licitadores que ya hayan firmado otro contrato con la Comisión Europea podrán proporcionar, en vez de la ficha de entidad legal y los justificantes, su número de entidad legal o bien una copia de la ficha de entidad legal proporcionada para esa ocasión, si no se han producido cambios en la naturaleza jurídica mientras tanto).</w:t>
      </w:r>
    </w:p>
    <w:p w14:paraId="25AD8BB5" w14:textId="77777777" w:rsidR="0047783A" w:rsidRPr="00E82463" w:rsidRDefault="0047783A" w:rsidP="0047783A">
      <w:pPr>
        <w:tabs>
          <w:tab w:val="left" w:pos="993"/>
        </w:tabs>
        <w:spacing w:after="0"/>
        <w:ind w:left="567"/>
        <w:rPr>
          <w:rFonts w:ascii="Times New Roman" w:hAnsi="Times New Roman"/>
          <w:sz w:val="22"/>
          <w:szCs w:val="22"/>
        </w:rPr>
      </w:pPr>
      <w:r>
        <w:rPr>
          <w:rFonts w:ascii="Times New Roman" w:hAnsi="Times New Roman"/>
          <w:sz w:val="22"/>
          <w:szCs w:val="22"/>
        </w:rPr>
        <w:t>Preséntese en formato de texto libre:</w:t>
      </w:r>
    </w:p>
    <w:p w14:paraId="0DD55ADA" w14:textId="77777777" w:rsidR="0047783A" w:rsidRPr="00E82463" w:rsidRDefault="0047783A" w:rsidP="00AC07D4">
      <w:pPr>
        <w:numPr>
          <w:ilvl w:val="0"/>
          <w:numId w:val="6"/>
        </w:numPr>
        <w:tabs>
          <w:tab w:val="num" w:pos="1134"/>
        </w:tabs>
        <w:spacing w:after="0"/>
        <w:ind w:left="1135" w:hanging="568"/>
        <w:jc w:val="both"/>
        <w:rPr>
          <w:rFonts w:ascii="Times New Roman" w:hAnsi="Times New Roman"/>
          <w:sz w:val="22"/>
          <w:szCs w:val="22"/>
        </w:rPr>
      </w:pPr>
      <w:r>
        <w:rPr>
          <w:rFonts w:ascii="Times New Roman" w:hAnsi="Times New Roman"/>
          <w:sz w:val="22"/>
          <w:szCs w:val="22"/>
        </w:rPr>
        <w:t>una descripción de las condiciones de garantía, que deberá cumplir las condiciones establecidas en la cláusula 32 de las Condiciones Generales;</w:t>
      </w:r>
    </w:p>
    <w:p w14:paraId="394677DE" w14:textId="5CE9F199" w:rsidR="000D66C0" w:rsidRPr="00DF724F" w:rsidRDefault="0047783A" w:rsidP="00DF724F">
      <w:pPr>
        <w:numPr>
          <w:ilvl w:val="0"/>
          <w:numId w:val="6"/>
        </w:numPr>
        <w:tabs>
          <w:tab w:val="num" w:pos="1134"/>
        </w:tabs>
        <w:spacing w:after="0"/>
        <w:ind w:left="1135" w:hanging="568"/>
        <w:jc w:val="both"/>
        <w:rPr>
          <w:rFonts w:ascii="Times New Roman" w:hAnsi="Times New Roman"/>
          <w:sz w:val="22"/>
          <w:szCs w:val="22"/>
        </w:rPr>
      </w:pPr>
      <w:r>
        <w:rPr>
          <w:rFonts w:ascii="Times New Roman" w:hAnsi="Times New Roman"/>
          <w:sz w:val="22"/>
          <w:szCs w:val="22"/>
        </w:rPr>
        <w:t>Firma debidamente autorizada: un documento oficial (estatutos, poderes de representación, acta notarial, etc.) que pruebe que la persona que firma en nombre de la compañía, empresa conjunta o consorcio está debidamente autorizada para hacerlo.</w:t>
      </w:r>
    </w:p>
    <w:p w14:paraId="5F7151C5" w14:textId="77777777" w:rsidR="0047783A" w:rsidRPr="00E82463" w:rsidRDefault="0047783A" w:rsidP="0047783A">
      <w:pPr>
        <w:spacing w:after="0"/>
        <w:ind w:left="567"/>
        <w:jc w:val="both"/>
        <w:outlineLvl w:val="0"/>
        <w:rPr>
          <w:rFonts w:ascii="Times New Roman" w:hAnsi="Times New Roman"/>
          <w:sz w:val="22"/>
          <w:szCs w:val="22"/>
        </w:rPr>
      </w:pPr>
      <w:r>
        <w:rPr>
          <w:rFonts w:ascii="Times New Roman" w:hAnsi="Times New Roman"/>
          <w:sz w:val="22"/>
          <w:szCs w:val="22"/>
        </w:rPr>
        <w:t>Observaciones:</w:t>
      </w:r>
    </w:p>
    <w:p w14:paraId="195ACF68" w14:textId="77777777" w:rsidR="0047783A" w:rsidRPr="00E82463" w:rsidRDefault="0047783A" w:rsidP="0047783A">
      <w:pPr>
        <w:spacing w:after="0"/>
        <w:ind w:left="567"/>
        <w:rPr>
          <w:rFonts w:ascii="Times New Roman" w:hAnsi="Times New Roman"/>
          <w:sz w:val="22"/>
          <w:szCs w:val="22"/>
        </w:rPr>
      </w:pPr>
      <w:r>
        <w:rPr>
          <w:rFonts w:ascii="Times New Roman" w:hAnsi="Times New Roman"/>
          <w:sz w:val="22"/>
          <w:szCs w:val="22"/>
        </w:rPr>
        <w:t>Se solicita a los licitadores que sigan este orden de presentación.</w:t>
      </w:r>
    </w:p>
    <w:p w14:paraId="4BD37E48" w14:textId="5C34FA55" w:rsidR="0047783A" w:rsidRDefault="0047783A" w:rsidP="0047783A">
      <w:pPr>
        <w:ind w:left="567"/>
        <w:rPr>
          <w:rFonts w:ascii="Times New Roman" w:hAnsi="Times New Roman"/>
          <w:snapToGrid/>
          <w:color w:val="0000FF"/>
          <w:sz w:val="22"/>
          <w:szCs w:val="22"/>
          <w:u w:val="single"/>
        </w:rPr>
      </w:pPr>
      <w:r>
        <w:rPr>
          <w:rFonts w:ascii="Times New Roman" w:hAnsi="Times New Roman"/>
          <w:sz w:val="22"/>
          <w:szCs w:val="22"/>
        </w:rPr>
        <w:t xml:space="preserve">El anexo* hace referencia a los modelos adjuntos al expediente de licitación. Estos modelos se encuentran también disponibles en: </w:t>
      </w:r>
      <w:hyperlink r:id="rId9" w:anchor="Anexos-AnexosC(Ch.4):Suministros" w:history="1">
        <w:r w:rsidR="00E55643" w:rsidRPr="00376A55">
          <w:rPr>
            <w:rStyle w:val="Hipervnculo"/>
            <w:rFonts w:ascii="Times New Roman" w:hAnsi="Times New Roman"/>
            <w:sz w:val="22"/>
            <w:szCs w:val="22"/>
          </w:rPr>
          <w:t>https://wikis.ec.europa.eu/display/ExactExternalWikiES/Anexos#Anexos-AnexosC(Ch.4):Suministros</w:t>
        </w:r>
      </w:hyperlink>
      <w:r w:rsidR="00E55643" w:rsidRPr="00376A55">
        <w:rPr>
          <w:rFonts w:ascii="Times New Roman" w:hAnsi="Times New Roman"/>
          <w:sz w:val="22"/>
          <w:szCs w:val="22"/>
        </w:rPr>
        <w:t xml:space="preserve"> </w:t>
      </w:r>
    </w:p>
    <w:p w14:paraId="0BA05E29" w14:textId="67E16CAF" w:rsidR="0047783A" w:rsidRPr="001A2BC4" w:rsidRDefault="00A633C6" w:rsidP="009956B4">
      <w:pPr>
        <w:pStyle w:val="Ttulo1"/>
      </w:pPr>
      <w:bookmarkStart w:id="18" w:name="_Toc42488081"/>
      <w:r>
        <w:t>12. Tasas y otros derechos</w:t>
      </w:r>
      <w:bookmarkEnd w:id="18"/>
    </w:p>
    <w:p w14:paraId="224901BF" w14:textId="77777777" w:rsidR="0047783A" w:rsidRPr="00E82463" w:rsidRDefault="0047783A" w:rsidP="00AC07D4">
      <w:pPr>
        <w:pStyle w:val="Ttulo2"/>
        <w:ind w:left="567"/>
        <w:jc w:val="both"/>
        <w:rPr>
          <w:rFonts w:ascii="Times New Roman" w:hAnsi="Times New Roman"/>
          <w:sz w:val="22"/>
        </w:rPr>
      </w:pPr>
      <w:r>
        <w:rPr>
          <w:rFonts w:ascii="Times New Roman" w:hAnsi="Times New Roman"/>
          <w:sz w:val="22"/>
        </w:rPr>
        <w:t>Disposiciones fiscales y aduaneras aplicables:</w:t>
      </w:r>
    </w:p>
    <w:p w14:paraId="2B32058C" w14:textId="6BF84688" w:rsidR="0047783A" w:rsidRPr="00E82463" w:rsidRDefault="0047783A" w:rsidP="000D66C0">
      <w:pPr>
        <w:ind w:left="567"/>
        <w:jc w:val="both"/>
        <w:rPr>
          <w:rFonts w:ascii="Times New Roman" w:hAnsi="Times New Roman"/>
          <w:sz w:val="22"/>
          <w:szCs w:val="22"/>
        </w:rPr>
      </w:pPr>
      <w:r w:rsidRPr="00DF724F">
        <w:rPr>
          <w:rFonts w:ascii="Times New Roman" w:hAnsi="Times New Roman"/>
          <w:sz w:val="22"/>
          <w:szCs w:val="22"/>
        </w:rPr>
        <w:t>No hay acuer</w:t>
      </w:r>
      <w:r w:rsidR="00DF724F" w:rsidRPr="00DF724F">
        <w:rPr>
          <w:rFonts w:ascii="Times New Roman" w:hAnsi="Times New Roman"/>
          <w:sz w:val="22"/>
          <w:szCs w:val="22"/>
        </w:rPr>
        <w:t xml:space="preserve">do entre la Comisión Europea y </w:t>
      </w:r>
      <w:r w:rsidRPr="00DF724F">
        <w:rPr>
          <w:rFonts w:ascii="Times New Roman" w:hAnsi="Times New Roman"/>
          <w:sz w:val="22"/>
          <w:szCs w:val="22"/>
        </w:rPr>
        <w:t>que permita la exención p</w:t>
      </w:r>
      <w:r w:rsidR="00DF724F" w:rsidRPr="00DF724F">
        <w:rPr>
          <w:rFonts w:ascii="Times New Roman" w:hAnsi="Times New Roman"/>
          <w:sz w:val="22"/>
          <w:szCs w:val="22"/>
        </w:rPr>
        <w:t>arcial o total de los impuestos.</w:t>
      </w:r>
    </w:p>
    <w:p w14:paraId="09EA0EDD" w14:textId="27BD8675" w:rsidR="0047783A" w:rsidRPr="001A2BC4" w:rsidRDefault="00A633C6" w:rsidP="009956B4">
      <w:pPr>
        <w:pStyle w:val="Ttulo1"/>
      </w:pPr>
      <w:bookmarkStart w:id="19" w:name="_Toc42488082"/>
      <w:r>
        <w:t>13. Información complementaria antes de que finalice el plazo de presentación de las ofertas</w:t>
      </w:r>
      <w:bookmarkEnd w:id="19"/>
    </w:p>
    <w:p w14:paraId="51A1D679" w14:textId="5796B119" w:rsidR="0047783A" w:rsidRDefault="0047783A" w:rsidP="00AC07D4">
      <w:pPr>
        <w:ind w:left="567"/>
        <w:jc w:val="both"/>
        <w:rPr>
          <w:rFonts w:ascii="Times New Roman" w:hAnsi="Times New Roman"/>
          <w:sz w:val="22"/>
        </w:rPr>
      </w:pPr>
      <w:r>
        <w:rPr>
          <w:rFonts w:ascii="Times New Roman" w:hAnsi="Times New Roman"/>
          <w:sz w:val="22"/>
        </w:rPr>
        <w:t>El expediente de licitación debe estar tan claro que los licitadores no necesiten solicitar información complementaria en el curso del procedimiento. Si el Órgano de Contratación, por iniciativa propia o en respuesta a un potencial licitador, proporciona información complementaria sobre el expediente de licitación, debe hacerlo por escrito y simultáneamente a todos los demás licitadores.</w:t>
      </w:r>
    </w:p>
    <w:p w14:paraId="5935C064" w14:textId="16AEB06B" w:rsidR="005F7A76" w:rsidRPr="006F766A" w:rsidRDefault="005F7A76" w:rsidP="001A2BC4">
      <w:pPr>
        <w:keepNext/>
        <w:ind w:left="567"/>
        <w:jc w:val="both"/>
      </w:pPr>
      <w:r w:rsidRPr="006F766A">
        <w:rPr>
          <w:rFonts w:ascii="Times New Roman" w:hAnsi="Times New Roman"/>
          <w:sz w:val="22"/>
          <w:szCs w:val="22"/>
        </w:rPr>
        <w:lastRenderedPageBreak/>
        <w:t>Los licitadores potenciales pueden enviar sus consultas por escrito hasta</w:t>
      </w:r>
      <w:r w:rsidRPr="006F766A">
        <w:rPr>
          <w:rFonts w:ascii="Times New Roman" w:hAnsi="Times New Roman"/>
          <w:sz w:val="22"/>
        </w:rPr>
        <w:t xml:space="preserve"> </w:t>
      </w:r>
      <w:r w:rsidR="006F766A" w:rsidRPr="006F766A">
        <w:rPr>
          <w:rFonts w:ascii="Times New Roman" w:hAnsi="Times New Roman"/>
          <w:sz w:val="22"/>
        </w:rPr>
        <w:t>21 días</w:t>
      </w:r>
      <w:r w:rsidRPr="006F766A">
        <w:rPr>
          <w:rFonts w:ascii="Times New Roman" w:hAnsi="Times New Roman"/>
          <w:sz w:val="22"/>
        </w:rPr>
        <w:t xml:space="preserve"> </w:t>
      </w:r>
      <w:r w:rsidR="006F766A" w:rsidRPr="006F766A">
        <w:rPr>
          <w:rFonts w:ascii="Times New Roman" w:hAnsi="Times New Roman"/>
          <w:sz w:val="22"/>
        </w:rPr>
        <w:t>a</w:t>
      </w:r>
      <w:r w:rsidRPr="006F766A">
        <w:rPr>
          <w:rFonts w:ascii="Times New Roman" w:hAnsi="Times New Roman"/>
          <w:sz w:val="22"/>
          <w:szCs w:val="22"/>
        </w:rPr>
        <w:t>ntes de que finalice el plazo de presentación de las ofertas, especificando la referencia de publicación y el título del contrato a la</w:t>
      </w:r>
      <w:r w:rsidR="002B7CBA">
        <w:rPr>
          <w:rFonts w:ascii="Times New Roman" w:hAnsi="Times New Roman"/>
          <w:sz w:val="22"/>
          <w:szCs w:val="22"/>
        </w:rPr>
        <w:t>s</w:t>
      </w:r>
      <w:r w:rsidRPr="006F766A">
        <w:rPr>
          <w:rFonts w:ascii="Times New Roman" w:hAnsi="Times New Roman"/>
          <w:sz w:val="22"/>
          <w:szCs w:val="22"/>
        </w:rPr>
        <w:t xml:space="preserve"> siguiente</w:t>
      </w:r>
      <w:r w:rsidR="002B7CBA">
        <w:rPr>
          <w:rFonts w:ascii="Times New Roman" w:hAnsi="Times New Roman"/>
          <w:sz w:val="22"/>
          <w:szCs w:val="22"/>
        </w:rPr>
        <w:t>s direccio</w:t>
      </w:r>
      <w:r w:rsidRPr="006F766A">
        <w:rPr>
          <w:rFonts w:ascii="Times New Roman" w:hAnsi="Times New Roman"/>
          <w:sz w:val="22"/>
          <w:szCs w:val="22"/>
        </w:rPr>
        <w:t>n</w:t>
      </w:r>
      <w:r w:rsidR="002B7CBA">
        <w:rPr>
          <w:rFonts w:ascii="Times New Roman" w:hAnsi="Times New Roman"/>
          <w:sz w:val="22"/>
          <w:szCs w:val="22"/>
        </w:rPr>
        <w:t>es</w:t>
      </w:r>
      <w:r w:rsidRPr="006F766A">
        <w:rPr>
          <w:rFonts w:ascii="Times New Roman" w:hAnsi="Times New Roman"/>
          <w:sz w:val="22"/>
          <w:szCs w:val="22"/>
        </w:rPr>
        <w:t>:</w:t>
      </w:r>
    </w:p>
    <w:p w14:paraId="4CEEC5D2" w14:textId="45D20C55" w:rsidR="0077201B" w:rsidRDefault="00F61A2F" w:rsidP="0077201B">
      <w:pPr>
        <w:pStyle w:val="Textoindependiente"/>
        <w:spacing w:before="240"/>
        <w:ind w:left="567"/>
        <w:rPr>
          <w:rFonts w:ascii="Times New Roman" w:hAnsi="Times New Roman"/>
          <w:sz w:val="22"/>
          <w:szCs w:val="22"/>
        </w:rPr>
      </w:pPr>
      <w:proofErr w:type="spellStart"/>
      <w:r w:rsidRPr="00F61A2F">
        <w:rPr>
          <w:rFonts w:ascii="Times New Roman" w:hAnsi="Times New Roman"/>
          <w:sz w:val="22"/>
          <w:szCs w:val="22"/>
        </w:rPr>
        <w:t>Yaiza</w:t>
      </w:r>
      <w:proofErr w:type="spellEnd"/>
      <w:r w:rsidRPr="00F61A2F">
        <w:rPr>
          <w:rFonts w:ascii="Times New Roman" w:hAnsi="Times New Roman"/>
          <w:sz w:val="22"/>
          <w:szCs w:val="22"/>
        </w:rPr>
        <w:t xml:space="preserve"> </w:t>
      </w:r>
      <w:proofErr w:type="spellStart"/>
      <w:r w:rsidRPr="00F61A2F">
        <w:rPr>
          <w:rFonts w:ascii="Times New Roman" w:hAnsi="Times New Roman"/>
          <w:sz w:val="22"/>
          <w:szCs w:val="22"/>
        </w:rPr>
        <w:t>Reid</w:t>
      </w:r>
      <w:proofErr w:type="spellEnd"/>
      <w:r w:rsidRPr="00F61A2F">
        <w:rPr>
          <w:rFonts w:ascii="Times New Roman" w:hAnsi="Times New Roman"/>
          <w:sz w:val="22"/>
          <w:szCs w:val="22"/>
        </w:rPr>
        <w:br/>
      </w:r>
      <w:hyperlink r:id="rId10" w:history="1">
        <w:r w:rsidR="002B7CBA" w:rsidRPr="00A71224">
          <w:rPr>
            <w:rStyle w:val="Hipervnculo"/>
            <w:rFonts w:ascii="Times New Roman" w:hAnsi="Times New Roman"/>
            <w:sz w:val="22"/>
            <w:szCs w:val="22"/>
          </w:rPr>
          <w:t>yaiza.reid@avexternos.org</w:t>
        </w:r>
      </w:hyperlink>
    </w:p>
    <w:p w14:paraId="262FE8D4" w14:textId="77777777" w:rsidR="002B7CBA" w:rsidRDefault="002B7CBA" w:rsidP="0077201B">
      <w:pPr>
        <w:pStyle w:val="Textoindependiente"/>
        <w:spacing w:before="240"/>
        <w:ind w:left="567"/>
        <w:rPr>
          <w:rFonts w:ascii="Times New Roman" w:hAnsi="Times New Roman"/>
          <w:sz w:val="22"/>
          <w:szCs w:val="22"/>
        </w:rPr>
      </w:pPr>
    </w:p>
    <w:p w14:paraId="32ABC2EB" w14:textId="0BFA6457" w:rsidR="002B7CBA" w:rsidRPr="002B7CBA" w:rsidRDefault="00066FE4" w:rsidP="002B7CBA">
      <w:pPr>
        <w:pStyle w:val="Sinespaciado"/>
      </w:pPr>
      <w:r>
        <w:t xml:space="preserve">          </w:t>
      </w:r>
      <w:r w:rsidR="002B7CBA" w:rsidRPr="002B7CBA">
        <w:t xml:space="preserve">Fabiana </w:t>
      </w:r>
      <w:proofErr w:type="spellStart"/>
      <w:r w:rsidR="002B7CBA" w:rsidRPr="002B7CBA">
        <w:t>Parigino</w:t>
      </w:r>
      <w:proofErr w:type="spellEnd"/>
    </w:p>
    <w:p w14:paraId="0C1EDCD7" w14:textId="62DFB163" w:rsidR="002B7CBA" w:rsidRPr="002B7CBA" w:rsidRDefault="002B7CBA" w:rsidP="002B7CBA">
      <w:pPr>
        <w:pStyle w:val="Sinespaciado"/>
      </w:pPr>
      <w:r>
        <w:t xml:space="preserve">          </w:t>
      </w:r>
      <w:r w:rsidRPr="002B7CBA">
        <w:t>Fabiana.Parigino@avina.net</w:t>
      </w:r>
    </w:p>
    <w:p w14:paraId="45C6FBBF" w14:textId="77777777" w:rsidR="002B7CBA" w:rsidRDefault="002B7CBA">
      <w:pPr>
        <w:pStyle w:val="Textoindependiente"/>
        <w:ind w:left="567"/>
        <w:jc w:val="both"/>
        <w:rPr>
          <w:rFonts w:ascii="Times New Roman" w:hAnsi="Times New Roman"/>
          <w:sz w:val="22"/>
          <w:szCs w:val="22"/>
        </w:rPr>
      </w:pPr>
    </w:p>
    <w:p w14:paraId="5D996C4B" w14:textId="0043D820" w:rsidR="0077201B" w:rsidRPr="006F766A" w:rsidRDefault="0077201B">
      <w:pPr>
        <w:pStyle w:val="Textoindependiente"/>
        <w:ind w:left="567"/>
        <w:jc w:val="both"/>
        <w:rPr>
          <w:rFonts w:ascii="Times New Roman" w:hAnsi="Times New Roman"/>
          <w:sz w:val="22"/>
          <w:szCs w:val="22"/>
        </w:rPr>
      </w:pPr>
      <w:r w:rsidRPr="006F766A">
        <w:rPr>
          <w:rFonts w:ascii="Times New Roman" w:hAnsi="Times New Roman"/>
          <w:sz w:val="22"/>
          <w:szCs w:val="22"/>
        </w:rPr>
        <w:t xml:space="preserve">Las eventuales aclaraciones del expediente de licitación serán comunicadas simultáneamente y por escrito a todos los licitadores al menos 8 días antes de que finalice el plazo </w:t>
      </w:r>
      <w:r w:rsidR="006F766A" w:rsidRPr="006F766A">
        <w:rPr>
          <w:rFonts w:ascii="Times New Roman" w:hAnsi="Times New Roman"/>
          <w:sz w:val="22"/>
          <w:szCs w:val="22"/>
        </w:rPr>
        <w:t>de presentación de las ofertas.</w:t>
      </w:r>
      <w:r w:rsidRPr="006F766A">
        <w:rPr>
          <w:rFonts w:ascii="Times New Roman" w:hAnsi="Times New Roman"/>
          <w:sz w:val="22"/>
          <w:szCs w:val="22"/>
        </w:rPr>
        <w:t xml:space="preserve"> </w:t>
      </w:r>
    </w:p>
    <w:p w14:paraId="5A6F00C2" w14:textId="77777777" w:rsidR="0047783A" w:rsidRPr="00E82463" w:rsidRDefault="0047783A" w:rsidP="00AC07D4">
      <w:pPr>
        <w:pStyle w:val="Textoindependiente"/>
        <w:ind w:left="567"/>
        <w:jc w:val="both"/>
        <w:rPr>
          <w:rFonts w:ascii="Times New Roman" w:hAnsi="Times New Roman"/>
          <w:sz w:val="22"/>
        </w:rPr>
      </w:pPr>
      <w:r>
        <w:rPr>
          <w:rFonts w:ascii="Times New Roman" w:hAnsi="Times New Roman"/>
          <w:sz w:val="22"/>
        </w:rPr>
        <w:t>Todo licitador que trate de organizar reuniones individuales con el Órgano de Contratación o con la Comisión Europea durante el período de licitación puede ser excluido del procedimiento de licitación.</w:t>
      </w:r>
    </w:p>
    <w:p w14:paraId="292352D6" w14:textId="581B992B" w:rsidR="0047783A" w:rsidRPr="006F766A" w:rsidRDefault="00A633C6" w:rsidP="006F766A">
      <w:pPr>
        <w:pStyle w:val="Ttulo1"/>
      </w:pPr>
      <w:bookmarkStart w:id="20" w:name="_Toc42488083"/>
      <w:r>
        <w:t>14. Reunión aclaratoria / visita sobre el terreno</w:t>
      </w:r>
      <w:bookmarkEnd w:id="20"/>
    </w:p>
    <w:p w14:paraId="4B2DAFE3" w14:textId="74D0F717" w:rsidR="0047783A" w:rsidRPr="006F766A" w:rsidRDefault="0047783A" w:rsidP="00AC07D4">
      <w:pPr>
        <w:pStyle w:val="Textoindependiente"/>
        <w:ind w:left="567" w:hanging="567"/>
        <w:rPr>
          <w:rFonts w:ascii="Times New Roman" w:hAnsi="Times New Roman"/>
          <w:sz w:val="22"/>
          <w:szCs w:val="22"/>
        </w:rPr>
      </w:pPr>
      <w:r w:rsidRPr="006F766A">
        <w:rPr>
          <w:rFonts w:ascii="Times New Roman" w:hAnsi="Times New Roman"/>
          <w:sz w:val="22"/>
          <w:szCs w:val="22"/>
        </w:rPr>
        <w:t>14.1</w:t>
      </w:r>
      <w:r w:rsidRPr="006F766A">
        <w:rPr>
          <w:rFonts w:ascii="Times New Roman" w:hAnsi="Times New Roman"/>
          <w:sz w:val="22"/>
          <w:szCs w:val="22"/>
        </w:rPr>
        <w:tab/>
        <w:t>No se prevé realizar ninguna reunión aclaratoria / visita sobre el terreno. No se podrán organizar visitas a título individual para los licitadores potenciales dur</w:t>
      </w:r>
      <w:r w:rsidR="006F766A" w:rsidRPr="006F766A">
        <w:rPr>
          <w:rFonts w:ascii="Times New Roman" w:hAnsi="Times New Roman"/>
          <w:sz w:val="22"/>
          <w:szCs w:val="22"/>
        </w:rPr>
        <w:t>ante el período de licitación</w:t>
      </w:r>
    </w:p>
    <w:p w14:paraId="6214904C" w14:textId="4D412B1F" w:rsidR="0047783A" w:rsidRPr="001A2BC4" w:rsidRDefault="00183955" w:rsidP="001A2BC4">
      <w:pPr>
        <w:pStyle w:val="Ttulo1"/>
        <w:numPr>
          <w:ilvl w:val="0"/>
          <w:numId w:val="4"/>
        </w:numPr>
      </w:pPr>
      <w:bookmarkStart w:id="21" w:name="_Toc42488084"/>
      <w:r>
        <w:t>Modificación o retirada de las ofertas</w:t>
      </w:r>
      <w:bookmarkEnd w:id="21"/>
    </w:p>
    <w:p w14:paraId="31E0BA62" w14:textId="341E333B" w:rsidR="002F559C" w:rsidRPr="00507CA1" w:rsidRDefault="002409FE" w:rsidP="00507CA1">
      <w:pPr>
        <w:spacing w:before="0" w:after="0"/>
        <w:ind w:left="567" w:hanging="567"/>
        <w:jc w:val="both"/>
        <w:rPr>
          <w:rFonts w:ascii="Times New Roman" w:hAnsi="Times New Roman"/>
          <w:sz w:val="22"/>
          <w:szCs w:val="22"/>
        </w:rPr>
      </w:pPr>
      <w:r>
        <w:rPr>
          <w:rFonts w:ascii="Times New Roman" w:hAnsi="Times New Roman"/>
          <w:sz w:val="22"/>
          <w:szCs w:val="22"/>
        </w:rPr>
        <w:t xml:space="preserve"> </w:t>
      </w:r>
      <w:r w:rsidR="0047783A">
        <w:rPr>
          <w:rFonts w:ascii="Times New Roman" w:hAnsi="Times New Roman"/>
          <w:sz w:val="22"/>
        </w:rPr>
        <w:t>15.1</w:t>
      </w:r>
      <w:r w:rsidR="0047783A">
        <w:rPr>
          <w:rFonts w:ascii="Times New Roman" w:hAnsi="Times New Roman"/>
          <w:sz w:val="22"/>
        </w:rPr>
        <w:tab/>
      </w:r>
      <w:r w:rsidR="005071E3" w:rsidRPr="00507CA1">
        <w:rPr>
          <w:rFonts w:ascii="Times New Roman" w:hAnsi="Times New Roman"/>
          <w:sz w:val="22"/>
          <w:szCs w:val="22"/>
        </w:rPr>
        <w:t>Los licitadores pueden modificar o retirar sus ofertas mediante notificación escrita antes de que venza el plazo de presentación de ofertas. Transcurrido este plazo no se podrán modificar las ofertas.</w:t>
      </w:r>
      <w:r w:rsidR="00924C60" w:rsidRPr="00507CA1">
        <w:rPr>
          <w:rFonts w:ascii="Times New Roman" w:hAnsi="Times New Roman"/>
          <w:sz w:val="22"/>
          <w:szCs w:val="22"/>
        </w:rPr>
        <w:t xml:space="preserve"> </w:t>
      </w:r>
      <w:r w:rsidR="005071E3" w:rsidRPr="00507CA1">
        <w:rPr>
          <w:rFonts w:ascii="Times New Roman" w:hAnsi="Times New Roman"/>
          <w:sz w:val="22"/>
          <w:szCs w:val="22"/>
        </w:rPr>
        <w:t>La retirada de ofertas será incondicional y pondrá fin a la participación en la licitación.</w:t>
      </w:r>
      <w:r w:rsidR="005071E3" w:rsidRPr="00507CA1">
        <w:rPr>
          <w:rFonts w:ascii="Times New Roman" w:hAnsi="Times New Roman"/>
          <w:sz w:val="22"/>
        </w:rPr>
        <w:t xml:space="preserve"> </w:t>
      </w:r>
      <w:r w:rsidR="005071E3" w:rsidRPr="00507CA1">
        <w:rPr>
          <w:rFonts w:ascii="Times New Roman" w:hAnsi="Times New Roman"/>
          <w:sz w:val="22"/>
        </w:rPr>
        <w:tab/>
      </w:r>
    </w:p>
    <w:p w14:paraId="2F12C80F" w14:textId="39CCA190" w:rsidR="0047783A" w:rsidRPr="00507CA1" w:rsidRDefault="0047783A" w:rsidP="009956B4">
      <w:pPr>
        <w:pStyle w:val="Ttulo2"/>
        <w:keepNext w:val="0"/>
        <w:ind w:left="567"/>
        <w:jc w:val="both"/>
        <w:rPr>
          <w:rFonts w:ascii="Times New Roman" w:hAnsi="Times New Roman"/>
          <w:sz w:val="22"/>
          <w:szCs w:val="22"/>
        </w:rPr>
      </w:pPr>
      <w:r w:rsidRPr="00507CA1">
        <w:rPr>
          <w:rFonts w:ascii="Times New Roman" w:hAnsi="Times New Roman"/>
          <w:sz w:val="22"/>
          <w:szCs w:val="22"/>
        </w:rPr>
        <w:t>Las notificaciones de modificación o retirada deberán prepararse y presentarse con arreglo a lo dispuesto en la sección 10. El sobre exterior debe llevar la mención «Modificació</w:t>
      </w:r>
      <w:r w:rsidR="00507CA1">
        <w:rPr>
          <w:rFonts w:ascii="Times New Roman" w:hAnsi="Times New Roman"/>
          <w:sz w:val="22"/>
          <w:szCs w:val="22"/>
        </w:rPr>
        <w:t>n» o «Retirada», según proceda.</w:t>
      </w:r>
    </w:p>
    <w:p w14:paraId="7E91B778" w14:textId="57DFA46D" w:rsidR="0047783A" w:rsidRPr="00E82463" w:rsidRDefault="0047783A" w:rsidP="0047783A">
      <w:pPr>
        <w:pStyle w:val="Ttulo2"/>
        <w:keepNext w:val="0"/>
        <w:ind w:left="567" w:hanging="567"/>
        <w:jc w:val="both"/>
        <w:rPr>
          <w:rFonts w:ascii="Times New Roman" w:hAnsi="Times New Roman"/>
        </w:rPr>
      </w:pPr>
      <w:r>
        <w:rPr>
          <w:rFonts w:ascii="Times New Roman" w:hAnsi="Times New Roman"/>
          <w:sz w:val="22"/>
        </w:rPr>
        <w:t>15.2</w:t>
      </w:r>
      <w:r>
        <w:rPr>
          <w:rFonts w:ascii="Times New Roman" w:hAnsi="Times New Roman"/>
          <w:sz w:val="22"/>
        </w:rPr>
        <w:tab/>
        <w:t>No puede retirarse ninguna oferta en el período comprendido entre el final del plazo de presentación de ofertas y el vencimiento del plazo de validez de las ofertas. La retirada de una oferta durante este período puede tener como resultado la pérdida de la garantía de licitación.</w:t>
      </w:r>
    </w:p>
    <w:p w14:paraId="3738767F" w14:textId="2FAB4988" w:rsidR="0047783A" w:rsidRPr="001A2BC4" w:rsidRDefault="00A633C6" w:rsidP="009956B4">
      <w:pPr>
        <w:pStyle w:val="Ttulo1"/>
      </w:pPr>
      <w:bookmarkStart w:id="22" w:name="_Toc42488085"/>
      <w:r>
        <w:t>16. Costes de preparación de las ofertas</w:t>
      </w:r>
      <w:bookmarkEnd w:id="22"/>
    </w:p>
    <w:p w14:paraId="0C26C260" w14:textId="77777777" w:rsidR="0047783A" w:rsidRPr="00E82463" w:rsidRDefault="0047783A" w:rsidP="0047783A">
      <w:pPr>
        <w:tabs>
          <w:tab w:val="left" w:pos="567"/>
        </w:tabs>
        <w:ind w:left="567"/>
        <w:jc w:val="both"/>
        <w:rPr>
          <w:rFonts w:ascii="Times New Roman" w:hAnsi="Times New Roman"/>
          <w:sz w:val="22"/>
        </w:rPr>
      </w:pPr>
      <w:r>
        <w:rPr>
          <w:rFonts w:ascii="Times New Roman" w:hAnsi="Times New Roman"/>
          <w:sz w:val="22"/>
        </w:rPr>
        <w:t>Los costes en que incurra el licitador para la preparación y la presentación de su oferta no serán reembolsables. Todos estos gastos correrán a cargo del licitador.</w:t>
      </w:r>
    </w:p>
    <w:p w14:paraId="45FBA75B" w14:textId="1A78B6DC" w:rsidR="0047783A" w:rsidRPr="001A2BC4" w:rsidRDefault="00A633C6" w:rsidP="009956B4">
      <w:pPr>
        <w:pStyle w:val="Ttulo1"/>
      </w:pPr>
      <w:r>
        <w:t xml:space="preserve">17. </w:t>
      </w:r>
      <w:bookmarkStart w:id="23" w:name="_Toc42488086"/>
      <w:r>
        <w:t>Propiedad de las ofertas</w:t>
      </w:r>
      <w:bookmarkEnd w:id="23"/>
    </w:p>
    <w:p w14:paraId="625016AA" w14:textId="77777777" w:rsidR="0047783A" w:rsidRPr="00E82463" w:rsidRDefault="0047783A" w:rsidP="0047783A">
      <w:pPr>
        <w:ind w:left="567"/>
        <w:jc w:val="both"/>
        <w:rPr>
          <w:rFonts w:ascii="Times New Roman" w:hAnsi="Times New Roman"/>
          <w:sz w:val="22"/>
        </w:rPr>
      </w:pPr>
      <w:r>
        <w:rPr>
          <w:rFonts w:ascii="Times New Roman" w:hAnsi="Times New Roman"/>
          <w:sz w:val="22"/>
        </w:rPr>
        <w:t>Todas las ofertas recibidas en virtud de este procedimiento de licitación pasan a ser propiedad del Órgano de Contratación. Por consiguiente, los licitadores no tienen derecho a la devolución de sus ofertas.</w:t>
      </w:r>
    </w:p>
    <w:p w14:paraId="358251F9" w14:textId="0E625D6F" w:rsidR="0047783A" w:rsidRPr="001A2BC4" w:rsidRDefault="00A633C6" w:rsidP="009956B4">
      <w:pPr>
        <w:pStyle w:val="Ttulo1"/>
      </w:pPr>
      <w:bookmarkStart w:id="24" w:name="_Toc42488087"/>
      <w:r>
        <w:t>18. Empresa conjunta o consorcio</w:t>
      </w:r>
      <w:bookmarkEnd w:id="24"/>
    </w:p>
    <w:p w14:paraId="638F8B9B" w14:textId="77777777" w:rsidR="0047783A" w:rsidRPr="00E82463" w:rsidRDefault="0047783A" w:rsidP="0047783A">
      <w:pPr>
        <w:pStyle w:val="Ttulo2"/>
        <w:keepNext w:val="0"/>
        <w:ind w:left="567" w:hanging="567"/>
        <w:jc w:val="both"/>
        <w:rPr>
          <w:rFonts w:ascii="Times New Roman" w:hAnsi="Times New Roman"/>
        </w:rPr>
      </w:pPr>
      <w:r>
        <w:rPr>
          <w:rFonts w:ascii="Times New Roman" w:hAnsi="Times New Roman"/>
          <w:sz w:val="22"/>
        </w:rPr>
        <w:t>18.1</w:t>
      </w:r>
      <w:r>
        <w:rPr>
          <w:rFonts w:ascii="Times New Roman" w:hAnsi="Times New Roman"/>
          <w:sz w:val="22"/>
        </w:rPr>
        <w:tab/>
        <w:t xml:space="preserve">Cuando el licitador sea una empresa conjunta o un consorcio de dos o más personas, la oferta debe ser una oferta única con objeto de asegurar un único contrato y todos los miembros de la empresa conjunta o el consorcio deben firmar la oferta, quedando todos ellos obligados solidariamente por la oferta y por cualquier contrato resultante de la misma. Deberán designar </w:t>
      </w:r>
      <w:r>
        <w:rPr>
          <w:rFonts w:ascii="Times New Roman" w:hAnsi="Times New Roman"/>
          <w:sz w:val="22"/>
        </w:rPr>
        <w:lastRenderedPageBreak/>
        <w:t>a uno de ellos para que actúe como licitador principal para comprometer a la empresa conjunta o al consorcio. La composición de la empresa conjunta o del consorcio no podrá modificarse sin el consentimiento previo escrito del Órgano de Contratación.</w:t>
      </w:r>
    </w:p>
    <w:p w14:paraId="14EBA476" w14:textId="77777777" w:rsidR="0047783A" w:rsidRPr="00E82463" w:rsidRDefault="0047783A" w:rsidP="0047783A">
      <w:pPr>
        <w:pStyle w:val="Ttulo2"/>
        <w:keepNext w:val="0"/>
        <w:ind w:left="567" w:hanging="567"/>
        <w:jc w:val="both"/>
        <w:rPr>
          <w:rFonts w:ascii="Times New Roman" w:hAnsi="Times New Roman"/>
        </w:rPr>
      </w:pPr>
      <w:r>
        <w:rPr>
          <w:rFonts w:ascii="Times New Roman" w:hAnsi="Times New Roman"/>
          <w:sz w:val="22"/>
        </w:rPr>
        <w:t>18.2</w:t>
      </w:r>
      <w:r>
        <w:rPr>
          <w:rFonts w:ascii="Times New Roman" w:hAnsi="Times New Roman"/>
          <w:sz w:val="22"/>
        </w:rPr>
        <w:tab/>
        <w:t>La oferta solo puede ser firmada por el representante de la empresa conjunta o del consorcio si los miembros de la empresa conjunta o del consorcio le han dado una autorización expresa y por escrito para ello, debiendo presentarse en tal caso el contrato de autorización o el acta o documento notarial al Órgano de Contratación de acuerdo con el punto 11 de estas instrucciones para los licitadores. Todas las firmas del documento de autorización deben estar certificadas de conformidad con las disposiciones legales y reglamentarias de cada una de las partes que compongan la empresa conjunta o el consorcio, al igual que los poderes de representación que establezcan por escrito que los firmantes de la oferta están facultados para contraer obligaciones en nombre de los otros miembros de la empresa conjunta o del consorcio. Cada miembro de la empresa conjunta o del consorcio debe facilitar la prueba que se exige en la sección 3.5 como si él mismo fuera el licitador.</w:t>
      </w:r>
    </w:p>
    <w:p w14:paraId="2F10EC9B" w14:textId="65193D85" w:rsidR="0047783A" w:rsidRPr="001A2BC4" w:rsidRDefault="00A633C6" w:rsidP="009956B4">
      <w:pPr>
        <w:pStyle w:val="Ttulo1"/>
      </w:pPr>
      <w:bookmarkStart w:id="25" w:name="_Toc42488088"/>
      <w:r>
        <w:t>19. Apertura de plicas</w:t>
      </w:r>
      <w:bookmarkEnd w:id="25"/>
    </w:p>
    <w:p w14:paraId="3751B074" w14:textId="3F0E74E0" w:rsidR="0047783A" w:rsidRDefault="0047783A" w:rsidP="0047783A">
      <w:pPr>
        <w:pStyle w:val="Ttulo2"/>
        <w:keepNext w:val="0"/>
        <w:ind w:left="567" w:hanging="567"/>
        <w:jc w:val="both"/>
        <w:rPr>
          <w:rFonts w:ascii="Times New Roman" w:hAnsi="Times New Roman"/>
          <w:sz w:val="22"/>
        </w:rPr>
      </w:pPr>
      <w:r>
        <w:rPr>
          <w:rFonts w:ascii="Times New Roman" w:hAnsi="Times New Roman"/>
          <w:sz w:val="22"/>
        </w:rPr>
        <w:t>19.1</w:t>
      </w:r>
      <w:r>
        <w:rPr>
          <w:rFonts w:ascii="Times New Roman" w:hAnsi="Times New Roman"/>
          <w:sz w:val="22"/>
        </w:rPr>
        <w:tab/>
        <w:t>La sesión de apertura tiene por objeto comprobar si las ofertas se han presentado de conformidad con los requisitos de presentación de la licitación.</w:t>
      </w:r>
    </w:p>
    <w:p w14:paraId="04BF86A3" w14:textId="1724B5ED" w:rsidR="0000259F" w:rsidRPr="00507CA1" w:rsidRDefault="0047783A" w:rsidP="0000259F">
      <w:pPr>
        <w:pStyle w:val="Ttulo2"/>
        <w:ind w:left="567" w:hanging="567"/>
        <w:jc w:val="both"/>
        <w:rPr>
          <w:rFonts w:ascii="Times New Roman" w:hAnsi="Times New Roman"/>
          <w:sz w:val="22"/>
        </w:rPr>
      </w:pPr>
      <w:r>
        <w:rPr>
          <w:rFonts w:ascii="Times New Roman" w:hAnsi="Times New Roman"/>
          <w:sz w:val="22"/>
        </w:rPr>
        <w:t>19.2</w:t>
      </w:r>
      <w:r>
        <w:rPr>
          <w:rFonts w:ascii="Times New Roman" w:hAnsi="Times New Roman"/>
          <w:sz w:val="22"/>
        </w:rPr>
        <w:tab/>
      </w:r>
      <w:r w:rsidRPr="00507CA1">
        <w:rPr>
          <w:rFonts w:ascii="Times New Roman" w:hAnsi="Times New Roman"/>
          <w:sz w:val="22"/>
        </w:rPr>
        <w:t>La fecha y el lugar de la sesión de apertura de plicas se indican en la sección IV.2.7 del anuncio de contrato.</w:t>
      </w:r>
    </w:p>
    <w:p w14:paraId="53EB2A2E" w14:textId="28CC6BE7" w:rsidR="0047783A" w:rsidRPr="00507CA1" w:rsidRDefault="0047783A" w:rsidP="001A2BC4">
      <w:pPr>
        <w:pStyle w:val="Ttulo2"/>
        <w:keepNext w:val="0"/>
        <w:ind w:left="567"/>
        <w:jc w:val="both"/>
        <w:rPr>
          <w:rFonts w:ascii="Times New Roman" w:hAnsi="Times New Roman"/>
          <w:sz w:val="22"/>
        </w:rPr>
      </w:pPr>
      <w:r w:rsidRPr="00507CA1">
        <w:rPr>
          <w:rFonts w:ascii="Times New Roman" w:hAnsi="Times New Roman"/>
          <w:sz w:val="22"/>
        </w:rPr>
        <w:t>El comité levantará acta de la reunión, que estará disponible previa solicitud.</w:t>
      </w:r>
    </w:p>
    <w:p w14:paraId="7FBE10F5" w14:textId="24268D8A" w:rsidR="00A5438F" w:rsidRPr="00507CA1" w:rsidRDefault="00A5438F" w:rsidP="00FC6A15">
      <w:pPr>
        <w:ind w:left="567"/>
        <w:jc w:val="both"/>
        <w:rPr>
          <w:rFonts w:ascii="Times New Roman" w:hAnsi="Times New Roman"/>
          <w:sz w:val="22"/>
        </w:rPr>
      </w:pPr>
      <w:r w:rsidRPr="00507CA1">
        <w:rPr>
          <w:rFonts w:ascii="Times New Roman" w:hAnsi="Times New Roman"/>
          <w:sz w:val="22"/>
          <w:szCs w:val="22"/>
        </w:rPr>
        <w:t>En el caso de que en la fecha de la sesión de apertura el Órgano de Contratación no haya recibido algunas de las ofertas, pero sus representantes puedan facilitar pruebas de que se ha enviado a tiempo, el Órgano de Contratación les permitirá participar en la primera sesión de apertura e informará a todos los representantes de que se celebrará una segunda sesión de apertura.</w:t>
      </w:r>
      <w:r w:rsidRPr="00507CA1">
        <w:rPr>
          <w:rFonts w:ascii="Times New Roman" w:hAnsi="Times New Roman"/>
          <w:sz w:val="22"/>
        </w:rPr>
        <w:t xml:space="preserve"> </w:t>
      </w:r>
    </w:p>
    <w:p w14:paraId="399D7693" w14:textId="77777777" w:rsidR="0047783A" w:rsidRPr="00507CA1" w:rsidRDefault="0047783A" w:rsidP="001A2BC4">
      <w:pPr>
        <w:ind w:left="567" w:hanging="567"/>
        <w:jc w:val="both"/>
        <w:rPr>
          <w:rFonts w:ascii="Times New Roman" w:hAnsi="Times New Roman"/>
          <w:sz w:val="22"/>
        </w:rPr>
      </w:pPr>
      <w:r w:rsidRPr="00507CA1">
        <w:rPr>
          <w:rFonts w:ascii="Times New Roman" w:hAnsi="Times New Roman"/>
          <w:sz w:val="22"/>
        </w:rPr>
        <w:t>19.3</w:t>
      </w:r>
      <w:r w:rsidRPr="00507CA1">
        <w:rPr>
          <w:rFonts w:ascii="Times New Roman" w:hAnsi="Times New Roman"/>
          <w:sz w:val="22"/>
        </w:rPr>
        <w:tab/>
        <w:t>En la sesión de apertura de plicas deberán anunciarse los nombres de los licitadores, los precios de las ofertas, los descuentos ofrecidos, las notificaciones escritas de alteración y de retirada, la existencia de la garantía de licitación requerida (si procede) y cualesquiera otros pormenores que el Órgano de Contratación considere conveniente comunicar.</w:t>
      </w:r>
    </w:p>
    <w:p w14:paraId="68DAAAB5" w14:textId="7681837D" w:rsidR="0047783A" w:rsidRPr="00E82463" w:rsidRDefault="0047783A" w:rsidP="0047783A">
      <w:pPr>
        <w:pStyle w:val="Ttulo2"/>
        <w:keepNext w:val="0"/>
        <w:ind w:left="567" w:hanging="567"/>
        <w:jc w:val="both"/>
        <w:rPr>
          <w:rFonts w:ascii="Times New Roman" w:hAnsi="Times New Roman"/>
          <w:sz w:val="22"/>
        </w:rPr>
      </w:pPr>
      <w:r w:rsidRPr="00507CA1">
        <w:rPr>
          <w:rFonts w:ascii="Times New Roman" w:hAnsi="Times New Roman"/>
          <w:sz w:val="22"/>
        </w:rPr>
        <w:t>19.4</w:t>
      </w:r>
      <w:r w:rsidRPr="00507CA1">
        <w:rPr>
          <w:rFonts w:ascii="Times New Roman" w:hAnsi="Times New Roman"/>
          <w:sz w:val="22"/>
        </w:rPr>
        <w:tab/>
        <w:t>Tras la apertura pública de las plicas no podrá revelarse hasta la adjudicación del contrato ningún dato relativo al examen, a la aclaración o a la evaluación de las ofertas, ni recomendación alguna relativa a la adjudicación del contrato.</w:t>
      </w:r>
    </w:p>
    <w:p w14:paraId="27D3E2A2" w14:textId="77777777" w:rsidR="0047783A" w:rsidRPr="00E82463" w:rsidRDefault="0047783A" w:rsidP="0047783A">
      <w:pPr>
        <w:pStyle w:val="Ttulo2"/>
        <w:keepNext w:val="0"/>
        <w:ind w:left="567" w:hanging="567"/>
        <w:jc w:val="both"/>
        <w:rPr>
          <w:rFonts w:ascii="Times New Roman" w:hAnsi="Times New Roman"/>
          <w:sz w:val="22"/>
        </w:rPr>
      </w:pPr>
      <w:r>
        <w:rPr>
          <w:rFonts w:ascii="Times New Roman" w:hAnsi="Times New Roman"/>
          <w:sz w:val="22"/>
        </w:rPr>
        <w:t>19.5</w:t>
      </w:r>
      <w:r>
        <w:rPr>
          <w:rFonts w:ascii="Times New Roman" w:hAnsi="Times New Roman"/>
          <w:sz w:val="22"/>
        </w:rPr>
        <w:tab/>
        <w:t>Cualquier intento por parte de un licitador de influir en el Comité de Evaluación durante el examen, la aclaración, la evaluación y la comparación de las ofertas, de obtener información acerca del desarrollo del procedimiento o de influir en la decisión del Órgano de Contratación relativa a la adjudicación del contrato tendrá como consecuencia la inmediata desestimación de su oferta.</w:t>
      </w:r>
    </w:p>
    <w:p w14:paraId="06AA2484" w14:textId="77777777" w:rsidR="0047783A" w:rsidRPr="00E82463" w:rsidRDefault="0047783A" w:rsidP="0047783A">
      <w:pPr>
        <w:pStyle w:val="Ttulo2"/>
        <w:keepNext w:val="0"/>
        <w:ind w:left="567" w:hanging="567"/>
        <w:jc w:val="both"/>
        <w:rPr>
          <w:rFonts w:ascii="Times New Roman" w:hAnsi="Times New Roman"/>
        </w:rPr>
      </w:pPr>
      <w:r>
        <w:rPr>
          <w:rFonts w:ascii="Times New Roman" w:hAnsi="Times New Roman"/>
          <w:sz w:val="22"/>
        </w:rPr>
        <w:t>19.6</w:t>
      </w:r>
      <w:r>
        <w:rPr>
          <w:rFonts w:ascii="Times New Roman" w:hAnsi="Times New Roman"/>
          <w:sz w:val="22"/>
        </w:rPr>
        <w:tab/>
        <w:t>El Órgano de Contratación conservará todas las ofertas recibidas hasta la finalización del plazo de presentación establecido en el anuncio de contrato o en las presentes instrucciones. Las garantías correspondientes se devolverán a los licitadores. No se podrá aceptar ninguna responsabilidad por el retraso en la entrega de las ofertas. Las ofertas presentadas fuera de plazo serán rechazadas y no se evaluarán.</w:t>
      </w:r>
    </w:p>
    <w:p w14:paraId="48479041" w14:textId="6F92F0B0" w:rsidR="0047783A" w:rsidRPr="001A2BC4" w:rsidRDefault="00A633C6" w:rsidP="009956B4">
      <w:pPr>
        <w:pStyle w:val="Ttulo1"/>
      </w:pPr>
      <w:bookmarkStart w:id="26" w:name="_Toc42488089"/>
      <w:r>
        <w:t>20. Evaluación de las ofertas</w:t>
      </w:r>
      <w:bookmarkEnd w:id="26"/>
    </w:p>
    <w:p w14:paraId="7C75DF35" w14:textId="77777777" w:rsidR="0047783A" w:rsidRPr="00E82463" w:rsidRDefault="0047783A" w:rsidP="0047783A">
      <w:pPr>
        <w:pStyle w:val="Ttulo2"/>
        <w:ind w:left="567" w:hanging="567"/>
        <w:jc w:val="both"/>
        <w:rPr>
          <w:rFonts w:ascii="Times New Roman" w:hAnsi="Times New Roman"/>
          <w:sz w:val="22"/>
        </w:rPr>
      </w:pPr>
      <w:r>
        <w:rPr>
          <w:rFonts w:ascii="Times New Roman" w:hAnsi="Times New Roman"/>
          <w:sz w:val="22"/>
        </w:rPr>
        <w:t>20.1</w:t>
      </w:r>
      <w:r>
        <w:rPr>
          <w:rFonts w:ascii="Times New Roman" w:hAnsi="Times New Roman"/>
          <w:sz w:val="22"/>
        </w:rPr>
        <w:tab/>
        <w:t>Examen de la conformidad administrativa de las ofertas</w:t>
      </w:r>
    </w:p>
    <w:p w14:paraId="5100ED0A" w14:textId="77777777" w:rsidR="0047783A" w:rsidRPr="00E82463" w:rsidRDefault="0047783A" w:rsidP="0047783A">
      <w:pPr>
        <w:ind w:left="567"/>
        <w:jc w:val="both"/>
        <w:outlineLvl w:val="0"/>
        <w:rPr>
          <w:rFonts w:ascii="Times New Roman" w:hAnsi="Times New Roman"/>
        </w:rPr>
      </w:pPr>
      <w:r>
        <w:rPr>
          <w:rFonts w:ascii="Times New Roman" w:hAnsi="Times New Roman"/>
          <w:sz w:val="22"/>
        </w:rPr>
        <w:t>El objetivo de esta fase es determinar si las ofertas responden en lo esencial a las exigencias del expediente de licitación. Se considera que una oferta es conforme cuando satisface todas las condiciones, procedimientos y especificaciones establecidos en el expediente de licitación sin desviaciones ni restricciones sustanciales.</w:t>
      </w:r>
    </w:p>
    <w:p w14:paraId="2B926AFB" w14:textId="77777777" w:rsidR="0047783A" w:rsidRPr="00E82463" w:rsidRDefault="0047783A" w:rsidP="0047783A">
      <w:pPr>
        <w:ind w:left="567"/>
        <w:jc w:val="both"/>
        <w:outlineLvl w:val="0"/>
        <w:rPr>
          <w:rFonts w:ascii="Times New Roman" w:hAnsi="Times New Roman"/>
        </w:rPr>
      </w:pPr>
      <w:r>
        <w:rPr>
          <w:rFonts w:ascii="Times New Roman" w:hAnsi="Times New Roman"/>
          <w:sz w:val="22"/>
        </w:rPr>
        <w:lastRenderedPageBreak/>
        <w:t>Las desviaciones o restricciones importantes son las que afectan al ámbito, la calidad o la ejecución del contrato, o las que se apartan de manera sustancial del expediente de licitación o limitan los derechos del Órgano de Contratación o las obligaciones del licitador en virtud del contrato, o distorsionan la competencia con respecto a los licitadores que hayan presentado ofertas conformes. Las decisiones que tengan como efecto declarar no conforme una oferta desde el punto de vista administrativo deben justificarse debidamente en las actas de evaluación.</w:t>
      </w:r>
    </w:p>
    <w:p w14:paraId="2B1EEA90" w14:textId="1C4B2598" w:rsidR="0047783A" w:rsidRDefault="0047783A" w:rsidP="0047783A">
      <w:pPr>
        <w:ind w:left="567"/>
        <w:jc w:val="both"/>
        <w:outlineLvl w:val="0"/>
        <w:rPr>
          <w:rFonts w:ascii="Times New Roman" w:hAnsi="Times New Roman"/>
          <w:sz w:val="22"/>
        </w:rPr>
      </w:pPr>
      <w:r>
        <w:rPr>
          <w:rFonts w:ascii="Times New Roman" w:hAnsi="Times New Roman"/>
          <w:sz w:val="22"/>
        </w:rPr>
        <w:t>Si una oferta no es conforme con el expediente de licitación, será rechazada inmediatamente y no podrá obtener más tarde la conformidad mediante correcciones o la supresión de las desviaciones o restricciones.</w:t>
      </w:r>
    </w:p>
    <w:p w14:paraId="5C1965CF" w14:textId="77777777" w:rsidR="0047783A" w:rsidRPr="00E82463" w:rsidRDefault="0047783A" w:rsidP="0047783A">
      <w:pPr>
        <w:pStyle w:val="Ttulo2"/>
        <w:ind w:left="567" w:hanging="567"/>
        <w:jc w:val="both"/>
        <w:rPr>
          <w:rFonts w:ascii="Times New Roman" w:hAnsi="Times New Roman"/>
          <w:sz w:val="22"/>
        </w:rPr>
      </w:pPr>
      <w:r>
        <w:rPr>
          <w:rFonts w:ascii="Times New Roman" w:hAnsi="Times New Roman"/>
          <w:sz w:val="22"/>
        </w:rPr>
        <w:t>20.2</w:t>
      </w:r>
      <w:r>
        <w:rPr>
          <w:rFonts w:ascii="Times New Roman" w:hAnsi="Times New Roman"/>
          <w:sz w:val="22"/>
        </w:rPr>
        <w:tab/>
        <w:t>Evaluación técnica</w:t>
      </w:r>
    </w:p>
    <w:p w14:paraId="5563ABB0" w14:textId="77777777" w:rsidR="0047783A" w:rsidRPr="00E82463" w:rsidRDefault="0047783A" w:rsidP="00E82463">
      <w:pPr>
        <w:spacing w:before="0"/>
        <w:ind w:left="567"/>
        <w:jc w:val="both"/>
        <w:outlineLvl w:val="0"/>
        <w:rPr>
          <w:rFonts w:ascii="Times New Roman" w:hAnsi="Times New Roman"/>
          <w:sz w:val="22"/>
        </w:rPr>
      </w:pPr>
      <w:bookmarkStart w:id="27" w:name="_Ref500330647"/>
      <w:r>
        <w:rPr>
          <w:rFonts w:ascii="Times New Roman" w:hAnsi="Times New Roman"/>
          <w:sz w:val="22"/>
        </w:rPr>
        <w:t>Una vez efectuado el análisis de las ofertas consideradas conformes desde el punto de vista administrativo, el Comité de Evaluación deberá evaluar la conformidad técnica de cada oferta y clasificará las ofertas en dos categorías: conformes o no conformes técnicamente.</w:t>
      </w:r>
    </w:p>
    <w:p w14:paraId="6BBE5195" w14:textId="77777777" w:rsidR="0047783A" w:rsidRPr="00E82463" w:rsidRDefault="0047783A" w:rsidP="00E82463">
      <w:pPr>
        <w:pStyle w:val="Ttulo2"/>
        <w:keepNext w:val="0"/>
        <w:spacing w:before="0"/>
        <w:ind w:left="567"/>
        <w:jc w:val="both"/>
        <w:rPr>
          <w:rFonts w:ascii="Times New Roman" w:hAnsi="Times New Roman"/>
          <w:sz w:val="22"/>
          <w:szCs w:val="22"/>
        </w:rPr>
      </w:pPr>
      <w:r>
        <w:rPr>
          <w:rFonts w:ascii="Times New Roman" w:hAnsi="Times New Roman"/>
          <w:sz w:val="22"/>
          <w:szCs w:val="22"/>
        </w:rPr>
        <w:t>Las calificaciones mínimas requeridas (véanse los criterios de selección recogidos en la información adicional sobre el anuncio de contrato) se han de evaluar al comienzo de esta etapa.</w:t>
      </w:r>
    </w:p>
    <w:bookmarkEnd w:id="27"/>
    <w:p w14:paraId="7F4CA860" w14:textId="77777777" w:rsidR="0047783A" w:rsidRPr="00E82463" w:rsidRDefault="0047783A" w:rsidP="00E82463">
      <w:pPr>
        <w:spacing w:before="0"/>
        <w:ind w:left="567"/>
        <w:jc w:val="both"/>
        <w:outlineLvl w:val="0"/>
        <w:rPr>
          <w:rFonts w:ascii="Times New Roman" w:hAnsi="Times New Roman"/>
          <w:sz w:val="22"/>
        </w:rPr>
      </w:pPr>
      <w:r>
        <w:rPr>
          <w:rFonts w:ascii="Times New Roman" w:hAnsi="Times New Roman"/>
          <w:sz w:val="22"/>
        </w:rPr>
        <w:t>En los casos de contratos que incluyan servicios posventa o de formación, al efectuar el análisis técnico de las ofertas se podrá evaluar también la calidad técnica de esos servicios usando el criterio sí/no tal como se especifica en el expediente de licitación.</w:t>
      </w:r>
    </w:p>
    <w:p w14:paraId="3AE476C4" w14:textId="77777777" w:rsidR="0047783A" w:rsidRPr="00E82463" w:rsidRDefault="0047783A" w:rsidP="0047783A">
      <w:pPr>
        <w:pStyle w:val="Ttulo2"/>
        <w:ind w:left="567" w:hanging="567"/>
        <w:jc w:val="both"/>
        <w:rPr>
          <w:rFonts w:ascii="Times New Roman" w:hAnsi="Times New Roman"/>
        </w:rPr>
      </w:pPr>
      <w:r>
        <w:rPr>
          <w:rFonts w:ascii="Times New Roman" w:hAnsi="Times New Roman"/>
          <w:sz w:val="22"/>
        </w:rPr>
        <w:t>20.3</w:t>
      </w:r>
      <w:r>
        <w:rPr>
          <w:rFonts w:ascii="Times New Roman" w:hAnsi="Times New Roman"/>
          <w:sz w:val="22"/>
        </w:rPr>
        <w:tab/>
        <w:t>En aras de la transparencia y la igualdad de trato, y a fin de facilitar el examen y la evaluación de las ofertas, el Comité de Evaluación podrá solicitar a cada licitador aclaraciones relativas a su oferta incluido el desglose de los precios unitarios, en un plazo razonable que será fijado por el Comité de Evaluación. La solicitud de aclaración y la respuesta se formularán por escrito, pero no se podrá pretender, ofrecer ni admitir cambio alguno en el precio o en el contenido de la oferta, salvo los que sean necesarios para confirmar la corrección de errores aritméticos descubiertos durante la evaluación de las ofertas en aplicación de la cláusula 20.4. Ninguna solicitud de aclaración deberá falsear la competencia. Las decisiones que tengan como efecto declarar no conforme una oferta deben justificarse debidamente en las actas de evaluación.</w:t>
      </w:r>
    </w:p>
    <w:p w14:paraId="69AD1BD6" w14:textId="77777777" w:rsidR="0047783A" w:rsidRPr="00E82463" w:rsidRDefault="0047783A" w:rsidP="0047783A">
      <w:pPr>
        <w:pStyle w:val="Ttulo2"/>
        <w:ind w:left="567" w:hanging="567"/>
        <w:jc w:val="both"/>
        <w:rPr>
          <w:rFonts w:ascii="Times New Roman" w:hAnsi="Times New Roman"/>
          <w:sz w:val="22"/>
        </w:rPr>
      </w:pPr>
      <w:r>
        <w:rPr>
          <w:rFonts w:ascii="Times New Roman" w:hAnsi="Times New Roman"/>
          <w:sz w:val="22"/>
        </w:rPr>
        <w:t>20.4</w:t>
      </w:r>
      <w:r>
        <w:rPr>
          <w:rFonts w:ascii="Times New Roman" w:hAnsi="Times New Roman"/>
          <w:sz w:val="22"/>
        </w:rPr>
        <w:tab/>
        <w:t>Evaluación financiera</w:t>
      </w:r>
    </w:p>
    <w:p w14:paraId="3111CA64" w14:textId="77777777" w:rsidR="0047783A" w:rsidRPr="00E82463" w:rsidRDefault="0047783A" w:rsidP="00E82463">
      <w:pPr>
        <w:tabs>
          <w:tab w:val="left" w:pos="851"/>
        </w:tabs>
        <w:spacing w:after="0"/>
        <w:ind w:left="851" w:hanging="284"/>
        <w:jc w:val="both"/>
        <w:rPr>
          <w:rFonts w:ascii="Times New Roman" w:hAnsi="Times New Roman"/>
          <w:sz w:val="22"/>
        </w:rPr>
      </w:pPr>
      <w:r>
        <w:rPr>
          <w:rFonts w:ascii="Times New Roman" w:hAnsi="Times New Roman"/>
          <w:sz w:val="22"/>
        </w:rPr>
        <w:t>a)</w:t>
      </w:r>
      <w:r>
        <w:rPr>
          <w:rFonts w:ascii="Times New Roman" w:hAnsi="Times New Roman"/>
          <w:sz w:val="22"/>
        </w:rPr>
        <w:tab/>
        <w:t>Deberá comprobarse la posible existencia de errores aritméticos en los cálculos y en los totales de las ofertas que se hayan considerado técnicamente conformes. El Comité de Evaluación corregirá dichos errores de la manera siguiente:</w:t>
      </w:r>
    </w:p>
    <w:p w14:paraId="128E3C84" w14:textId="77777777" w:rsidR="0047783A" w:rsidRPr="00E82463" w:rsidRDefault="0047783A" w:rsidP="00E82463">
      <w:pPr>
        <w:tabs>
          <w:tab w:val="left" w:pos="1418"/>
        </w:tabs>
        <w:spacing w:after="0"/>
        <w:ind w:left="1418" w:hanging="284"/>
        <w:jc w:val="both"/>
        <w:outlineLvl w:val="0"/>
        <w:rPr>
          <w:rFonts w:ascii="Times New Roman" w:hAnsi="Times New Roman"/>
          <w:sz w:val="22"/>
        </w:rPr>
      </w:pPr>
      <w:r>
        <w:rPr>
          <w:rFonts w:ascii="Times New Roman" w:hAnsi="Times New Roman"/>
          <w:sz w:val="22"/>
        </w:rPr>
        <w:t>-</w:t>
      </w:r>
      <w:r>
        <w:rPr>
          <w:rFonts w:ascii="Times New Roman" w:hAnsi="Times New Roman"/>
          <w:sz w:val="22"/>
        </w:rPr>
        <w:tab/>
        <w:t>cuando exista una discrepancia entre las cantidades expresadas en cifras y las expresadas en letras, prevalecerán estas últimas;</w:t>
      </w:r>
    </w:p>
    <w:p w14:paraId="75B453CA" w14:textId="77777777" w:rsidR="0047783A" w:rsidRPr="00E82463" w:rsidRDefault="0047783A" w:rsidP="00E82463">
      <w:pPr>
        <w:tabs>
          <w:tab w:val="left" w:pos="1418"/>
        </w:tabs>
        <w:spacing w:after="0"/>
        <w:ind w:left="1418" w:hanging="284"/>
        <w:jc w:val="both"/>
        <w:outlineLvl w:val="0"/>
        <w:rPr>
          <w:rFonts w:ascii="Times New Roman" w:hAnsi="Times New Roman"/>
          <w:sz w:val="22"/>
        </w:rPr>
      </w:pPr>
      <w:r>
        <w:rPr>
          <w:rFonts w:ascii="Times New Roman" w:hAnsi="Times New Roman"/>
          <w:sz w:val="22"/>
        </w:rPr>
        <w:t>-</w:t>
      </w:r>
      <w:r>
        <w:rPr>
          <w:rFonts w:ascii="Times New Roman" w:hAnsi="Times New Roman"/>
          <w:sz w:val="22"/>
        </w:rPr>
        <w:tab/>
        <w:t>excepto en el caso de contratos a tanto alzado, cuando haya una discrepancia entre el precio unitario y el precio total resultante de la multiplicación del precio unitario por la cantidad de unidades, prevalecerá el precio unitario indicado.</w:t>
      </w:r>
    </w:p>
    <w:p w14:paraId="21FF634C" w14:textId="77777777" w:rsidR="0047783A" w:rsidRDefault="0047783A" w:rsidP="00E82463">
      <w:pPr>
        <w:tabs>
          <w:tab w:val="left" w:pos="851"/>
        </w:tabs>
        <w:spacing w:after="0"/>
        <w:ind w:left="851" w:hanging="284"/>
        <w:jc w:val="both"/>
        <w:rPr>
          <w:rFonts w:ascii="Times New Roman" w:hAnsi="Times New Roman"/>
          <w:sz w:val="22"/>
        </w:rPr>
      </w:pPr>
      <w:r>
        <w:rPr>
          <w:rFonts w:ascii="Times New Roman" w:hAnsi="Times New Roman"/>
          <w:sz w:val="22"/>
        </w:rPr>
        <w:t>b)</w:t>
      </w:r>
      <w:r>
        <w:rPr>
          <w:rFonts w:ascii="Times New Roman" w:hAnsi="Times New Roman"/>
          <w:sz w:val="22"/>
        </w:rPr>
        <w:tab/>
        <w:t>Los importes resultantes de esta corrección serán vinculantes para el licitador. En caso de que el licitador no los acepte, su oferta será rechazada.</w:t>
      </w:r>
    </w:p>
    <w:p w14:paraId="5D911846" w14:textId="77777777" w:rsidR="002456F1" w:rsidRDefault="002456F1" w:rsidP="009C1AB9">
      <w:pPr>
        <w:tabs>
          <w:tab w:val="left" w:pos="851"/>
        </w:tabs>
        <w:spacing w:after="0"/>
        <w:ind w:left="851" w:hanging="284"/>
        <w:jc w:val="both"/>
        <w:rPr>
          <w:rFonts w:ascii="Times New Roman" w:hAnsi="Times New Roman"/>
          <w:sz w:val="22"/>
        </w:rPr>
      </w:pPr>
      <w:r>
        <w:rPr>
          <w:rFonts w:ascii="Times New Roman" w:hAnsi="Times New Roman"/>
          <w:sz w:val="22"/>
        </w:rPr>
        <w:t>c) A menos que se especifique otra cosa, el objetivo del procedimiento de evaluación financiera es identificar al licitador que ofrezca el precio más bajo. Si se señala en las especificaciones técnicas, la evaluación de las ofertas podrá tener en cuenta, no solo los costes de adquisición, sino, en la medida en que proceda, los costes asumidos a lo largo del ciclo de vida de los suministros (como, por ejemplo, los costes de mantenimiento y los costes de explotación), de acuerdo con las especificaciones técnicas. En tal caso, el Órgano de Contratación examinará detalladamente toda la información facilitada por los licitadores y formulará su opinión sobre la base del coste total más bajo, incluidos los costes adicionales.</w:t>
      </w:r>
    </w:p>
    <w:p w14:paraId="225D2214" w14:textId="5574697E" w:rsidR="0047783A" w:rsidRPr="00E82463" w:rsidRDefault="00924C60" w:rsidP="0047783A">
      <w:pPr>
        <w:pStyle w:val="Ttulo2"/>
        <w:ind w:left="567" w:hanging="567"/>
        <w:jc w:val="both"/>
        <w:rPr>
          <w:rFonts w:ascii="Times New Roman" w:hAnsi="Times New Roman"/>
          <w:sz w:val="22"/>
        </w:rPr>
      </w:pPr>
      <w:r>
        <w:rPr>
          <w:rFonts w:ascii="Times New Roman" w:hAnsi="Times New Roman"/>
          <w:sz w:val="22"/>
        </w:rPr>
        <w:lastRenderedPageBreak/>
        <w:t>20.</w:t>
      </w:r>
      <w:r w:rsidR="0047783A">
        <w:rPr>
          <w:rFonts w:ascii="Times New Roman" w:hAnsi="Times New Roman"/>
          <w:sz w:val="22"/>
        </w:rPr>
        <w:t>5</w:t>
      </w:r>
      <w:r w:rsidR="0047783A">
        <w:rPr>
          <w:rFonts w:ascii="Times New Roman" w:hAnsi="Times New Roman"/>
          <w:sz w:val="22"/>
        </w:rPr>
        <w:tab/>
        <w:t>Variantes</w:t>
      </w:r>
    </w:p>
    <w:p w14:paraId="69F11B46" w14:textId="77777777" w:rsidR="0047783A" w:rsidRPr="00E82463" w:rsidRDefault="0047783A" w:rsidP="00FC6A15">
      <w:pPr>
        <w:ind w:left="567"/>
        <w:jc w:val="both"/>
      </w:pPr>
      <w:r>
        <w:rPr>
          <w:rFonts w:ascii="Times New Roman" w:hAnsi="Times New Roman"/>
          <w:sz w:val="22"/>
        </w:rPr>
        <w:t>Las variantes no serán tenidas en cuenta.</w:t>
      </w:r>
    </w:p>
    <w:p w14:paraId="61B04D9B" w14:textId="04F127B9" w:rsidR="0047783A" w:rsidRPr="00E82463" w:rsidRDefault="00924C60" w:rsidP="0047783A">
      <w:pPr>
        <w:pStyle w:val="Ttulo2"/>
        <w:ind w:left="567" w:hanging="567"/>
        <w:jc w:val="both"/>
        <w:rPr>
          <w:rFonts w:ascii="Times New Roman" w:hAnsi="Times New Roman"/>
          <w:sz w:val="22"/>
        </w:rPr>
      </w:pPr>
      <w:r>
        <w:rPr>
          <w:rFonts w:ascii="Times New Roman" w:hAnsi="Times New Roman"/>
          <w:sz w:val="22"/>
        </w:rPr>
        <w:t>20.</w:t>
      </w:r>
      <w:r w:rsidR="0047783A">
        <w:rPr>
          <w:rFonts w:ascii="Times New Roman" w:hAnsi="Times New Roman"/>
          <w:sz w:val="22"/>
        </w:rPr>
        <w:t>6</w:t>
      </w:r>
      <w:r w:rsidR="0047783A">
        <w:rPr>
          <w:rFonts w:ascii="Times New Roman" w:hAnsi="Times New Roman"/>
          <w:sz w:val="22"/>
        </w:rPr>
        <w:tab/>
        <w:t>Criterios de adjudicación</w:t>
      </w:r>
    </w:p>
    <w:p w14:paraId="439E12D8" w14:textId="704B0CB0" w:rsidR="0047783A" w:rsidRPr="00E82463" w:rsidRDefault="0047783A" w:rsidP="0047783A">
      <w:pPr>
        <w:ind w:left="567" w:firstLine="11"/>
        <w:jc w:val="both"/>
        <w:outlineLvl w:val="0"/>
        <w:rPr>
          <w:rFonts w:ascii="Times New Roman" w:hAnsi="Times New Roman"/>
        </w:rPr>
      </w:pPr>
      <w:r w:rsidRPr="00D3276E">
        <w:rPr>
          <w:rFonts w:ascii="Times New Roman" w:hAnsi="Times New Roman"/>
          <w:sz w:val="22"/>
        </w:rPr>
        <w:t>El único criterio de adjudicación será el precio. El contrato se adjudicará a la oferta conforme que ofrezca el precio más bajo</w:t>
      </w:r>
    </w:p>
    <w:p w14:paraId="12EABB3E" w14:textId="48225A76" w:rsidR="0048742A" w:rsidRPr="00D3276E" w:rsidRDefault="0048742A" w:rsidP="00D3276E">
      <w:pPr>
        <w:ind w:left="567" w:firstLine="11"/>
        <w:jc w:val="both"/>
        <w:outlineLvl w:val="0"/>
        <w:rPr>
          <w:rFonts w:ascii="Times New Roman" w:hAnsi="Times New Roman"/>
          <w:sz w:val="22"/>
        </w:rPr>
      </w:pPr>
    </w:p>
    <w:p w14:paraId="13379A80" w14:textId="704AED48" w:rsidR="00986D62" w:rsidRPr="00D3276E" w:rsidRDefault="0048742A" w:rsidP="00D3276E">
      <w:pPr>
        <w:pStyle w:val="Prrafodelista"/>
        <w:numPr>
          <w:ilvl w:val="1"/>
          <w:numId w:val="34"/>
        </w:numPr>
        <w:jc w:val="both"/>
        <w:rPr>
          <w:rFonts w:ascii="Times New Roman" w:hAnsi="Times New Roman"/>
        </w:rPr>
      </w:pPr>
      <w:r w:rsidRPr="00D3276E">
        <w:rPr>
          <w:rFonts w:ascii="Times New Roman" w:hAnsi="Times New Roman"/>
        </w:rPr>
        <w:t>Pruebas documentales relativas a los criterios de exclusión y de selección</w:t>
      </w:r>
    </w:p>
    <w:p w14:paraId="2BCEDC6D" w14:textId="01ECCAFD" w:rsidR="001719EB" w:rsidRPr="00D3276E" w:rsidRDefault="0048742A" w:rsidP="009956B4">
      <w:pPr>
        <w:jc w:val="both"/>
        <w:rPr>
          <w:rFonts w:ascii="Times New Roman" w:hAnsi="Times New Roman"/>
          <w:color w:val="000000"/>
          <w:sz w:val="22"/>
          <w:szCs w:val="22"/>
        </w:rPr>
      </w:pPr>
      <w:r w:rsidRPr="00D3276E">
        <w:rPr>
          <w:rFonts w:ascii="Times New Roman" w:hAnsi="Times New Roman"/>
          <w:sz w:val="22"/>
          <w:szCs w:val="22"/>
        </w:rPr>
        <w:t xml:space="preserve">En cualquier momento del procedimiento de contratación y antes de la adjudicación del contrato, el Órgano de Contratación podrá solicitar pruebas documentales del cumplimiento de los criterios de exclusión y de selección (capacidad financiera, económica, técnica y profesional) establecidos en las presentes instrucciones. Cabe señalar que una solicitud de documentos no implica en modo alguno que el licitador haya sido seleccionado. </w:t>
      </w:r>
      <w:r w:rsidRPr="00D3276E">
        <w:rPr>
          <w:rFonts w:ascii="Times New Roman" w:hAnsi="Times New Roman"/>
          <w:b/>
          <w:bCs/>
          <w:sz w:val="22"/>
          <w:szCs w:val="22"/>
        </w:rPr>
        <w:t>Se invita a todos los licitadores a preparar por adelantado los documentos justificativos, pues puede exigirse su presentación en un plazo breve</w:t>
      </w:r>
      <w:r w:rsidRPr="00D3276E">
        <w:rPr>
          <w:rFonts w:ascii="Times New Roman" w:hAnsi="Times New Roman"/>
          <w:sz w:val="22"/>
          <w:szCs w:val="22"/>
        </w:rPr>
        <w:t xml:space="preserve">. En cualquier caso, los licitadores propuestos por el Comité de Evaluación para la adjudicación del contrato deberán presentar dichos documentos justificativos con poca antelación. </w:t>
      </w:r>
    </w:p>
    <w:p w14:paraId="0AAE80D4" w14:textId="77777777" w:rsidR="0048742A" w:rsidRPr="00D3276E" w:rsidRDefault="0048742A" w:rsidP="009956B4">
      <w:pPr>
        <w:jc w:val="both"/>
        <w:rPr>
          <w:rFonts w:ascii="Times New Roman" w:hAnsi="Times New Roman"/>
          <w:sz w:val="22"/>
          <w:szCs w:val="22"/>
        </w:rPr>
      </w:pPr>
      <w:r w:rsidRPr="00D3276E">
        <w:rPr>
          <w:rFonts w:ascii="Times New Roman" w:hAnsi="Times New Roman"/>
          <w:sz w:val="22"/>
          <w:szCs w:val="22"/>
        </w:rPr>
        <w:t xml:space="preserve">Previa solicitud, el adjudicatario deberá poder suministrar, por lo que respecta a los criterios de exclusión, las pruebas documentales o las declaraciones pertinentes de acuerdo con la legislación del país en el cual la empresa (o cada una de las empresas, en caso de consorcios) está establecida, con el objeto de demostrar que a la misma no se le aplica ninguno de los motivos de exclusión previstos en el apartado 2.6.10.1 de la Guía Práctica. </w:t>
      </w:r>
    </w:p>
    <w:p w14:paraId="4AA2AD90" w14:textId="683FC5FD" w:rsidR="0048742A" w:rsidRPr="00D3276E" w:rsidRDefault="0048742A" w:rsidP="009956B4">
      <w:pPr>
        <w:jc w:val="both"/>
        <w:outlineLvl w:val="0"/>
        <w:rPr>
          <w:rFonts w:ascii="Times New Roman" w:hAnsi="Times New Roman"/>
          <w:sz w:val="22"/>
          <w:szCs w:val="22"/>
        </w:rPr>
      </w:pPr>
      <w:r w:rsidRPr="00D3276E">
        <w:rPr>
          <w:rFonts w:ascii="Times New Roman" w:hAnsi="Times New Roman"/>
          <w:sz w:val="22"/>
          <w:szCs w:val="22"/>
        </w:rPr>
        <w:t xml:space="preserve">Estas pruebas, documentos o declaraciones deben estar fechadas no más de un año antes de la fecha de presentación de la oferta. </w:t>
      </w:r>
    </w:p>
    <w:p w14:paraId="09D214DF" w14:textId="726587F5" w:rsidR="00124409" w:rsidRPr="00D3276E" w:rsidRDefault="00124409" w:rsidP="00124409">
      <w:pPr>
        <w:jc w:val="both"/>
        <w:rPr>
          <w:rFonts w:ascii="Times New Roman" w:hAnsi="Times New Roman"/>
          <w:sz w:val="22"/>
          <w:szCs w:val="22"/>
        </w:rPr>
      </w:pPr>
      <w:r w:rsidRPr="00D3276E">
        <w:rPr>
          <w:rFonts w:ascii="Times New Roman" w:hAnsi="Times New Roman"/>
          <w:sz w:val="22"/>
          <w:szCs w:val="22"/>
        </w:rPr>
        <w:t xml:space="preserve">Los documentos mencionados deberán presentarse para cada miembro de una empresa conjunta o de un consorcio, para todos los subcontratistas y para cada entidad suministradora de capacidad. </w:t>
      </w:r>
    </w:p>
    <w:p w14:paraId="5DE9377D" w14:textId="19BB92C7" w:rsidR="0048742A" w:rsidRPr="00D3276E" w:rsidRDefault="0048742A" w:rsidP="009956B4">
      <w:pPr>
        <w:jc w:val="both"/>
        <w:outlineLvl w:val="0"/>
        <w:rPr>
          <w:rFonts w:ascii="Times New Roman" w:hAnsi="Times New Roman"/>
          <w:sz w:val="22"/>
          <w:szCs w:val="22"/>
        </w:rPr>
      </w:pPr>
      <w:r w:rsidRPr="00D3276E">
        <w:rPr>
          <w:rFonts w:ascii="Times New Roman" w:hAnsi="Times New Roman"/>
          <w:sz w:val="22"/>
          <w:szCs w:val="22"/>
        </w:rPr>
        <w:t>El Órgano de Contratación puede eximir de la obligación que tiene cualquier licitador de presentar la prueba documental mencionada anteriormente si ya le ha sido presentada tal prueba a efectos de otro procedimiento de licitación y siempre que la fecha de expedición de los documentos no tenga una antigüedad superior a un año y estos sigan siendo válidos. En tal caso, el licitador deberá realizar una declaración jurada de que las pruebas documentales ya han sido facilitadas en un procedimiento de licitación anterior y de que no se ha producido cambio alguno en su situación.</w:t>
      </w:r>
    </w:p>
    <w:p w14:paraId="5702AFDE" w14:textId="77777777" w:rsidR="0048742A" w:rsidRPr="00D3276E" w:rsidRDefault="0048742A" w:rsidP="009956B4">
      <w:pPr>
        <w:jc w:val="both"/>
        <w:outlineLvl w:val="0"/>
        <w:rPr>
          <w:rFonts w:ascii="Times New Roman" w:hAnsi="Times New Roman"/>
          <w:sz w:val="22"/>
          <w:szCs w:val="22"/>
        </w:rPr>
      </w:pPr>
      <w:r w:rsidRPr="00D3276E">
        <w:rPr>
          <w:rFonts w:ascii="Times New Roman" w:hAnsi="Times New Roman"/>
          <w:sz w:val="22"/>
          <w:szCs w:val="22"/>
        </w:rPr>
        <w:t xml:space="preserve">Si las pruebas documentales están redactadas en una lengua oficial de la Unión Europea que no es la del procedimiento, se recomienda encarecidamente adjuntar una traducción a la lengua del procedimiento para facilitar la evaluación de los documentos. </w:t>
      </w:r>
    </w:p>
    <w:p w14:paraId="1D21C259" w14:textId="77777777" w:rsidR="0048742A" w:rsidRPr="00D3276E" w:rsidRDefault="0048742A" w:rsidP="009956B4">
      <w:pPr>
        <w:jc w:val="both"/>
        <w:outlineLvl w:val="0"/>
        <w:rPr>
          <w:rFonts w:ascii="Times New Roman" w:hAnsi="Times New Roman"/>
          <w:sz w:val="22"/>
          <w:szCs w:val="22"/>
        </w:rPr>
      </w:pPr>
      <w:r w:rsidRPr="00D3276E">
        <w:rPr>
          <w:rFonts w:ascii="Times New Roman" w:hAnsi="Times New Roman"/>
          <w:sz w:val="22"/>
          <w:szCs w:val="22"/>
        </w:rPr>
        <w:t xml:space="preserve"> En el supuesto de que no se presenten documentos justificativos válidos a instancias del Órgano de Contratación y dentro del plazo fijado por este, se desestimará la oferta para la adjudicación del contrato, a menos que el licitador pueda justificar la no presentación de dichos documentos por causas de imposibilidad material.</w:t>
      </w:r>
    </w:p>
    <w:p w14:paraId="70BCCAC5" w14:textId="67A5886F" w:rsidR="0048742A" w:rsidRPr="009956B4" w:rsidRDefault="0048742A" w:rsidP="009956B4">
      <w:pPr>
        <w:jc w:val="both"/>
        <w:rPr>
          <w:rFonts w:ascii="Times New Roman" w:hAnsi="Times New Roman"/>
          <w:sz w:val="22"/>
          <w:szCs w:val="22"/>
        </w:rPr>
      </w:pPr>
      <w:r w:rsidRPr="00D3276E">
        <w:rPr>
          <w:rFonts w:ascii="Times New Roman" w:hAnsi="Times New Roman"/>
          <w:sz w:val="22"/>
          <w:szCs w:val="22"/>
        </w:rPr>
        <w:t xml:space="preserve">Si el licitador seleccionado no aporta las pruebas documentales o las declaraciones en cuestión o si se comprueba que el licitador seleccionado ha aportado información falsa, la adjudicación será declarada nula de pleno derecho. En este caso, el Órgano de Contratación podrá adjudicar la licitación al licitador que haya presentado la siguiente oferta más baja o bien anular </w:t>
      </w:r>
      <w:r w:rsidR="00D3276E">
        <w:rPr>
          <w:rFonts w:ascii="Times New Roman" w:hAnsi="Times New Roman"/>
          <w:sz w:val="22"/>
          <w:szCs w:val="22"/>
        </w:rPr>
        <w:t>el procedimiento de licitación</w:t>
      </w:r>
    </w:p>
    <w:p w14:paraId="31D5299C" w14:textId="09121EDE" w:rsidR="0048742A" w:rsidRPr="0048742A" w:rsidRDefault="0048742A" w:rsidP="009956B4">
      <w:pPr>
        <w:tabs>
          <w:tab w:val="left" w:pos="1720"/>
        </w:tabs>
        <w:ind w:left="567"/>
        <w:jc w:val="both"/>
        <w:rPr>
          <w:rFonts w:ascii="Times New Roman" w:hAnsi="Times New Roman"/>
          <w:sz w:val="22"/>
          <w:szCs w:val="22"/>
        </w:rPr>
      </w:pPr>
    </w:p>
    <w:p w14:paraId="3B82FCC1" w14:textId="77777777" w:rsidR="00EA1ADC" w:rsidRDefault="00EA1ADC" w:rsidP="00C348C0">
      <w:pPr>
        <w:jc w:val="both"/>
        <w:rPr>
          <w:rFonts w:ascii="Times New Roman" w:hAnsi="Times New Roman"/>
          <w:b/>
          <w:sz w:val="28"/>
          <w:szCs w:val="28"/>
        </w:rPr>
      </w:pPr>
      <w:r>
        <w:rPr>
          <w:rFonts w:ascii="Times New Roman" w:hAnsi="Times New Roman"/>
          <w:b/>
          <w:sz w:val="28"/>
          <w:szCs w:val="28"/>
        </w:rPr>
        <w:t>21.</w:t>
      </w:r>
      <w:r>
        <w:rPr>
          <w:rFonts w:ascii="Times New Roman" w:hAnsi="Times New Roman"/>
          <w:b/>
          <w:sz w:val="28"/>
          <w:szCs w:val="28"/>
        </w:rPr>
        <w:tab/>
        <w:t>Notificación de la decisión de adjudicación</w:t>
      </w:r>
    </w:p>
    <w:p w14:paraId="7F0885EA" w14:textId="77777777" w:rsidR="00032EDE" w:rsidRPr="00580F0C" w:rsidRDefault="00032EDE" w:rsidP="00032EDE">
      <w:pPr>
        <w:ind w:left="567"/>
        <w:jc w:val="both"/>
        <w:rPr>
          <w:rFonts w:ascii="Times New Roman" w:hAnsi="Times New Roman"/>
          <w:sz w:val="22"/>
        </w:rPr>
      </w:pPr>
      <w:r>
        <w:rPr>
          <w:rFonts w:ascii="Times New Roman" w:hAnsi="Times New Roman"/>
          <w:sz w:val="22"/>
        </w:rPr>
        <w:t>Al presentar una oferta, cada licitador acepta recibir notificación de los resultados del procedimiento por medios electrónicos. Dicha notificación se considerará que ha sido recibida en la fecha en que el Órgano de Contratación la envía a la dirección electrónica a que se refiere la oferta.</w:t>
      </w:r>
    </w:p>
    <w:p w14:paraId="2B2744C4" w14:textId="5B06BB71" w:rsidR="00EA1ADC" w:rsidRPr="00EA1ADC" w:rsidRDefault="00EA1ADC" w:rsidP="00EA1ADC">
      <w:pPr>
        <w:ind w:left="567"/>
        <w:jc w:val="both"/>
        <w:rPr>
          <w:rFonts w:ascii="Times New Roman" w:hAnsi="Times New Roman"/>
          <w:sz w:val="22"/>
          <w:szCs w:val="22"/>
        </w:rPr>
      </w:pPr>
      <w:r>
        <w:rPr>
          <w:rFonts w:ascii="Times New Roman" w:hAnsi="Times New Roman"/>
          <w:sz w:val="22"/>
          <w:szCs w:val="22"/>
        </w:rPr>
        <w:lastRenderedPageBreak/>
        <w:t xml:space="preserve">El Órgano de Contratación informará a todos los licitadores simultánea e individualmente de la decisión de adjudicación. Las garantías de licitación de los licitadores no seleccionados se liberarán una vez firmado el contrato. </w:t>
      </w:r>
      <w:r>
        <w:rPr>
          <w:rFonts w:ascii="Times New Roman" w:hAnsi="Times New Roman"/>
          <w:sz w:val="22"/>
        </w:rPr>
        <w:t>El adjudicatario será informado por escrito de que su oferta ha sido seleccionada (notificación de la adjudicación del contrato).</w:t>
      </w:r>
    </w:p>
    <w:p w14:paraId="1C85E614" w14:textId="77777777" w:rsidR="0047783A" w:rsidRPr="001A2BC4" w:rsidRDefault="00EA1ADC" w:rsidP="009956B4">
      <w:pPr>
        <w:pStyle w:val="Ttulo1"/>
      </w:pPr>
      <w:bookmarkStart w:id="28" w:name="_Toc41467298"/>
      <w:bookmarkStart w:id="29" w:name="_Toc42488090"/>
      <w:r>
        <w:t>22.</w:t>
      </w:r>
      <w:r>
        <w:tab/>
        <w:t>Firma del contrato y garantía de ejecución</w:t>
      </w:r>
      <w:bookmarkStart w:id="30" w:name="_Ref500418776"/>
      <w:bookmarkEnd w:id="28"/>
      <w:bookmarkEnd w:id="29"/>
    </w:p>
    <w:p w14:paraId="2DC2476A" w14:textId="22D332A5" w:rsidR="0047783A" w:rsidRPr="00E07D2A" w:rsidRDefault="0047783A" w:rsidP="0047783A">
      <w:pPr>
        <w:ind w:left="567" w:hanging="567"/>
        <w:jc w:val="both"/>
        <w:outlineLvl w:val="0"/>
        <w:rPr>
          <w:rFonts w:ascii="Times New Roman" w:hAnsi="Times New Roman"/>
          <w:sz w:val="22"/>
        </w:rPr>
      </w:pPr>
      <w:r>
        <w:rPr>
          <w:rFonts w:ascii="Times New Roman" w:hAnsi="Times New Roman"/>
          <w:sz w:val="22"/>
          <w:szCs w:val="22"/>
        </w:rPr>
        <w:t>22.</w:t>
      </w:r>
      <w:r>
        <w:rPr>
          <w:rFonts w:ascii="Times New Roman" w:hAnsi="Times New Roman"/>
        </w:rPr>
        <w:t>1</w:t>
      </w:r>
      <w:r>
        <w:rPr>
          <w:rFonts w:ascii="Times New Roman" w:hAnsi="Times New Roman"/>
        </w:rPr>
        <w:tab/>
      </w:r>
      <w:r>
        <w:rPr>
          <w:rFonts w:ascii="Times New Roman" w:hAnsi="Times New Roman"/>
          <w:sz w:val="22"/>
          <w:szCs w:val="22"/>
        </w:rPr>
        <w:t xml:space="preserve">El Órgano de Contratación se reserva el derecho de modificar las cantidades previstas en la licitación en +/- 100 % en el momento de la contratación y durante la validez del contrato. Como consecuencia de la modificación de las cantidades, el valor total de los suministros no podrá aumentar o disminuir en más del 25 % de la oferta financiera original de la licitación. Se utilizarán los precios unitarios que figuren en la oferta. </w:t>
      </w:r>
    </w:p>
    <w:p w14:paraId="113A701F" w14:textId="1B4AA1D6" w:rsidR="0047783A" w:rsidRPr="00E07D2A" w:rsidRDefault="0047783A" w:rsidP="0047783A">
      <w:pPr>
        <w:pStyle w:val="Ttulo2"/>
        <w:keepNext w:val="0"/>
        <w:ind w:left="567" w:hanging="567"/>
        <w:jc w:val="both"/>
        <w:rPr>
          <w:rFonts w:ascii="Times New Roman" w:hAnsi="Times New Roman"/>
        </w:rPr>
      </w:pPr>
      <w:r>
        <w:rPr>
          <w:rFonts w:ascii="Times New Roman" w:hAnsi="Times New Roman"/>
          <w:sz w:val="22"/>
          <w:szCs w:val="22"/>
        </w:rPr>
        <w:t>22.2</w:t>
      </w:r>
      <w:r>
        <w:rPr>
          <w:rFonts w:ascii="Times New Roman" w:hAnsi="Times New Roman"/>
          <w:sz w:val="22"/>
        </w:rPr>
        <w:tab/>
        <w:t>En un plazo de 30 días desde la recepción del contrato ya firmado por el Órgano de Contratación, el adjudicatario debe firmarlo, fecharlo y devolverlo al Órgano de Contratación junto con la garantía de ejecución (si procede esta última). Al firmar el contrato, el adjudicatario pasará a ser el contratista y el contrato entrará en vigor.</w:t>
      </w:r>
    </w:p>
    <w:bookmarkEnd w:id="30"/>
    <w:p w14:paraId="41D84CA6" w14:textId="3BA2182E" w:rsidR="0047783A" w:rsidRPr="00E07D2A" w:rsidRDefault="0047783A" w:rsidP="001407B5">
      <w:pPr>
        <w:pStyle w:val="Ttulo2"/>
        <w:keepNext w:val="0"/>
        <w:ind w:left="567" w:hanging="567"/>
        <w:jc w:val="both"/>
        <w:rPr>
          <w:rFonts w:ascii="Times New Roman" w:hAnsi="Times New Roman"/>
          <w:sz w:val="22"/>
        </w:rPr>
      </w:pPr>
      <w:r>
        <w:rPr>
          <w:rFonts w:ascii="Times New Roman" w:hAnsi="Times New Roman"/>
          <w:sz w:val="22"/>
          <w:szCs w:val="22"/>
        </w:rPr>
        <w:t>22.3</w:t>
      </w:r>
      <w:r>
        <w:rPr>
          <w:rFonts w:ascii="Times New Roman" w:hAnsi="Times New Roman"/>
          <w:sz w:val="22"/>
        </w:rPr>
        <w:tab/>
        <w:t>Si el adjudicatario no firma el contrato ni lo devuelve, junto con las garantías financieras requeridas, en un plazo de 30 días desde la recepción de la notificación, el Órgano de Contratación podrá considerar nula la aceptación de la oferta, sin perjuicio de la retención de la garantía de licitación, de los derechos compensatorios o de los recursos que estén a su disposición derivados de ese incumplimiento y sin posibilidad de reclamación por parte del adjudicatario.</w:t>
      </w:r>
    </w:p>
    <w:p w14:paraId="2201497C" w14:textId="77777777" w:rsidR="0047783A" w:rsidRPr="001A2BC4" w:rsidRDefault="00EA1ADC" w:rsidP="009956B4">
      <w:pPr>
        <w:pStyle w:val="Ttulo1"/>
      </w:pPr>
      <w:bookmarkStart w:id="31" w:name="_Toc41467299"/>
      <w:bookmarkStart w:id="32" w:name="_Toc42488091"/>
      <w:r>
        <w:t>23.</w:t>
      </w:r>
      <w:r>
        <w:tab/>
        <w:t>Garantía de licitación</w:t>
      </w:r>
      <w:bookmarkEnd w:id="31"/>
      <w:bookmarkEnd w:id="32"/>
    </w:p>
    <w:p w14:paraId="37999967" w14:textId="6E2BB993" w:rsidR="008718AA" w:rsidRPr="00E82463" w:rsidRDefault="002B7402" w:rsidP="00E07D2A">
      <w:pPr>
        <w:ind w:left="567"/>
        <w:jc w:val="both"/>
        <w:outlineLvl w:val="0"/>
        <w:rPr>
          <w:rFonts w:ascii="Times New Roman" w:hAnsi="Times New Roman"/>
          <w:sz w:val="22"/>
        </w:rPr>
      </w:pPr>
      <w:r w:rsidRPr="001407B5">
        <w:rPr>
          <w:rFonts w:ascii="Times New Roman" w:hAnsi="Times New Roman"/>
          <w:sz w:val="22"/>
          <w:szCs w:val="22"/>
        </w:rPr>
        <w:t>No se exige garantía de licitación</w:t>
      </w:r>
      <w:r w:rsidRPr="001407B5">
        <w:rPr>
          <w:rFonts w:ascii="Times New Roman" w:hAnsi="Times New Roman"/>
        </w:rPr>
        <w:t>.</w:t>
      </w:r>
    </w:p>
    <w:p w14:paraId="1A9EE00F" w14:textId="77777777" w:rsidR="0047783A" w:rsidRPr="001A2BC4" w:rsidRDefault="00EA1ADC" w:rsidP="009956B4">
      <w:pPr>
        <w:pStyle w:val="Ttulo1"/>
      </w:pPr>
      <w:bookmarkStart w:id="33" w:name="_Toc42488092"/>
      <w:r>
        <w:t xml:space="preserve">24. </w:t>
      </w:r>
      <w:bookmarkStart w:id="34" w:name="_Toc41467300"/>
      <w:r>
        <w:t>Cláusulas deontológicas</w:t>
      </w:r>
      <w:bookmarkEnd w:id="33"/>
      <w:bookmarkEnd w:id="34"/>
      <w:r>
        <w:t xml:space="preserve"> y código de conducta</w:t>
      </w:r>
    </w:p>
    <w:p w14:paraId="5C06588B" w14:textId="77777777" w:rsidR="00442FF2" w:rsidRDefault="0047783A" w:rsidP="0047783A">
      <w:pPr>
        <w:pStyle w:val="Ttulo2"/>
        <w:keepNext w:val="0"/>
        <w:ind w:left="567" w:hanging="567"/>
        <w:jc w:val="both"/>
        <w:rPr>
          <w:rFonts w:ascii="Times New Roman" w:hAnsi="Times New Roman"/>
          <w:sz w:val="22"/>
          <w:u w:val="single"/>
        </w:rPr>
      </w:pPr>
      <w:r>
        <w:rPr>
          <w:rFonts w:ascii="Times New Roman" w:hAnsi="Times New Roman"/>
          <w:sz w:val="22"/>
        </w:rPr>
        <w:t>24.1</w:t>
      </w:r>
      <w:r>
        <w:rPr>
          <w:rFonts w:ascii="Times New Roman" w:hAnsi="Times New Roman"/>
          <w:sz w:val="22"/>
        </w:rPr>
        <w:tab/>
      </w:r>
      <w:r>
        <w:rPr>
          <w:rFonts w:ascii="Times New Roman" w:hAnsi="Times New Roman"/>
          <w:sz w:val="22"/>
          <w:u w:val="single"/>
        </w:rPr>
        <w:t>Ausencia de conflictos de intereses</w:t>
      </w:r>
    </w:p>
    <w:p w14:paraId="7A7FB611" w14:textId="77777777" w:rsidR="00442FF2" w:rsidRPr="00C348C0" w:rsidRDefault="00442FF2" w:rsidP="00442FF2">
      <w:pPr>
        <w:keepNext/>
        <w:ind w:left="420"/>
        <w:jc w:val="both"/>
        <w:rPr>
          <w:rFonts w:ascii="Times New Roman" w:hAnsi="Times New Roman"/>
          <w:sz w:val="22"/>
          <w:szCs w:val="22"/>
        </w:rPr>
      </w:pPr>
      <w:r>
        <w:rPr>
          <w:rFonts w:ascii="Times New Roman" w:hAnsi="Times New Roman"/>
          <w:sz w:val="22"/>
          <w:szCs w:val="22"/>
        </w:rPr>
        <w:t xml:space="preserve">El licitador no deberá verse afectado por ningún conflicto de intereses y no deberá tener ningún tipo de relación equivalente al respecto con otros licitadores o partes implicadas en el proyecto. Toda tentativa de un licitador de obtener información confidencial, realizar acuerdos ilícitos con sus competidores o influir sobre el Comité de Evaluación o sobre el órgano de Contratación a lo largo del procedimiento de examen, de aclaración, evaluación y comparación de las ofertas acarreará la exclusión de su oferta y podrá dar lugar a la imposición de sanciones administrativas. </w:t>
      </w:r>
    </w:p>
    <w:p w14:paraId="1078A7C2" w14:textId="77777777" w:rsidR="00442FF2" w:rsidRDefault="0047783A" w:rsidP="00442FF2">
      <w:pPr>
        <w:pStyle w:val="Ttulo2"/>
        <w:keepNext w:val="0"/>
        <w:ind w:left="567" w:hanging="567"/>
        <w:jc w:val="both"/>
        <w:rPr>
          <w:rFonts w:ascii="Times New Roman" w:hAnsi="Times New Roman"/>
          <w:sz w:val="22"/>
        </w:rPr>
      </w:pPr>
      <w:r>
        <w:rPr>
          <w:rFonts w:ascii="Times New Roman" w:hAnsi="Times New Roman"/>
          <w:sz w:val="22"/>
        </w:rPr>
        <w:t>24.2</w:t>
      </w:r>
      <w:r>
        <w:rPr>
          <w:rFonts w:ascii="Times New Roman" w:hAnsi="Times New Roman"/>
          <w:sz w:val="22"/>
        </w:rPr>
        <w:tab/>
      </w:r>
      <w:r>
        <w:rPr>
          <w:rFonts w:ascii="Times New Roman" w:hAnsi="Times New Roman"/>
          <w:sz w:val="22"/>
          <w:u w:val="single"/>
        </w:rPr>
        <w:t>Respeto de los derechos humanos, así como de la legislación medioambiental y las normas laborales fundamentales</w:t>
      </w:r>
      <w:r>
        <w:rPr>
          <w:rFonts w:ascii="Times New Roman" w:hAnsi="Times New Roman"/>
          <w:sz w:val="22"/>
        </w:rPr>
        <w:t xml:space="preserve"> </w:t>
      </w:r>
    </w:p>
    <w:p w14:paraId="7FC8816F" w14:textId="328A3D95" w:rsidR="00442FF2" w:rsidRDefault="00442FF2" w:rsidP="00442FF2">
      <w:pPr>
        <w:keepNext/>
        <w:ind w:left="420"/>
        <w:jc w:val="both"/>
        <w:rPr>
          <w:rFonts w:ascii="Times New Roman" w:hAnsi="Times New Roman"/>
          <w:sz w:val="22"/>
          <w:szCs w:val="22"/>
        </w:rPr>
      </w:pPr>
      <w:r>
        <w:rPr>
          <w:rFonts w:ascii="Times New Roman" w:hAnsi="Times New Roman"/>
          <w:sz w:val="22"/>
          <w:szCs w:val="22"/>
        </w:rPr>
        <w:t xml:space="preserve">El licitador y su personal deberán respetar los derechos humanos y las normas aplicables en materia de protección de datos. En particular y conforme al acto de base aplicable, los licitadores y solicitantes a los que se les adjudiquen contratos deberán respetar la legislación medioambiental y los acuerdos medioambientales multilaterales, así como las normas fundamentales del trabajo aplicables definidas en los convenios pertinentes de la Organización </w:t>
      </w:r>
      <w:r>
        <w:rPr>
          <w:rFonts w:ascii="Times New Roman" w:hAnsi="Times New Roman"/>
          <w:sz w:val="22"/>
          <w:szCs w:val="22"/>
        </w:rPr>
        <w:lastRenderedPageBreak/>
        <w:t>Internacional del Trabajo (tales como los convenios sobre la libertad sindical y la negociación colectiva, la eliminación del trabajo forzoso o la abolición del trabajo infantil).</w:t>
      </w:r>
    </w:p>
    <w:p w14:paraId="4A1A75DC" w14:textId="77777777" w:rsidR="00442FF2" w:rsidRPr="00C348C0" w:rsidRDefault="00442FF2" w:rsidP="00442FF2">
      <w:pPr>
        <w:keepNext/>
        <w:pBdr>
          <w:top w:val="single" w:sz="4" w:space="0" w:color="auto"/>
          <w:left w:val="single" w:sz="4" w:space="4" w:color="auto"/>
          <w:bottom w:val="single" w:sz="4" w:space="1" w:color="auto"/>
          <w:right w:val="single" w:sz="4" w:space="4" w:color="auto"/>
        </w:pBdr>
        <w:ind w:left="420"/>
        <w:jc w:val="both"/>
        <w:rPr>
          <w:rFonts w:ascii="Times New Roman" w:hAnsi="Times New Roman"/>
          <w:b/>
          <w:sz w:val="22"/>
          <w:szCs w:val="22"/>
        </w:rPr>
      </w:pPr>
      <w:r>
        <w:rPr>
          <w:rFonts w:ascii="Times New Roman" w:hAnsi="Times New Roman"/>
          <w:b/>
          <w:sz w:val="22"/>
          <w:szCs w:val="22"/>
        </w:rPr>
        <w:t>Tolerancia cero ante el acoso, la explotación y los abusos sexuales:</w:t>
      </w:r>
    </w:p>
    <w:p w14:paraId="7428608B" w14:textId="77777777" w:rsidR="00442FF2" w:rsidRPr="00C348C0" w:rsidRDefault="00442FF2" w:rsidP="00442FF2">
      <w:pPr>
        <w:keepNext/>
        <w:pBdr>
          <w:top w:val="single" w:sz="4" w:space="0" w:color="auto"/>
          <w:left w:val="single" w:sz="4" w:space="4" w:color="auto"/>
          <w:bottom w:val="single" w:sz="4" w:space="1" w:color="auto"/>
          <w:right w:val="single" w:sz="4" w:space="4" w:color="auto"/>
        </w:pBdr>
        <w:ind w:left="420"/>
        <w:jc w:val="both"/>
        <w:rPr>
          <w:rFonts w:ascii="Times New Roman" w:hAnsi="Times New Roman"/>
          <w:sz w:val="22"/>
          <w:szCs w:val="22"/>
        </w:rPr>
      </w:pPr>
      <w:r>
        <w:rPr>
          <w:rFonts w:ascii="Times New Roman" w:hAnsi="Times New Roman"/>
          <w:sz w:val="22"/>
          <w:szCs w:val="22"/>
        </w:rPr>
        <w:t xml:space="preserve">La Comisión Europea aplica una política de «tolerancia cero» con respecto a toda conducta ilícita que afecte a la credibilidad profesional del licitador. </w:t>
      </w:r>
    </w:p>
    <w:p w14:paraId="4C0CBCB7" w14:textId="77777777" w:rsidR="00442FF2" w:rsidRPr="00C348C0" w:rsidRDefault="00442FF2" w:rsidP="00442FF2">
      <w:pPr>
        <w:keepNext/>
        <w:pBdr>
          <w:top w:val="single" w:sz="4" w:space="0" w:color="auto"/>
          <w:left w:val="single" w:sz="4" w:space="4" w:color="auto"/>
          <w:bottom w:val="single" w:sz="4" w:space="1" w:color="auto"/>
          <w:right w:val="single" w:sz="4" w:space="4" w:color="auto"/>
        </w:pBdr>
        <w:ind w:left="420"/>
        <w:jc w:val="both"/>
        <w:rPr>
          <w:rFonts w:ascii="Times New Roman" w:hAnsi="Times New Roman"/>
          <w:sz w:val="22"/>
          <w:szCs w:val="22"/>
        </w:rPr>
      </w:pPr>
      <w:r>
        <w:rPr>
          <w:rFonts w:ascii="Times New Roman" w:hAnsi="Times New Roman"/>
          <w:sz w:val="22"/>
          <w:szCs w:val="22"/>
        </w:rPr>
        <w:t xml:space="preserve">Se prohibirán el maltrato y los castigos físicos, las amenazas de maltrato físico, la explotación y los abusos sexuales, el acoso y los insultos, así como otras formas de intimidación. </w:t>
      </w:r>
    </w:p>
    <w:p w14:paraId="1FB09B03" w14:textId="77777777" w:rsidR="00442FF2" w:rsidRPr="00C348C0" w:rsidRDefault="00442FF2" w:rsidP="00442FF2">
      <w:pPr>
        <w:keepNext/>
        <w:ind w:left="420"/>
        <w:jc w:val="both"/>
        <w:rPr>
          <w:rFonts w:ascii="Times New Roman" w:hAnsi="Times New Roman"/>
          <w:sz w:val="22"/>
          <w:szCs w:val="22"/>
        </w:rPr>
      </w:pPr>
    </w:p>
    <w:p w14:paraId="55379675" w14:textId="77777777" w:rsidR="00442FF2" w:rsidRDefault="0047783A" w:rsidP="00442FF2">
      <w:pPr>
        <w:pStyle w:val="Ttulo2"/>
        <w:keepNext w:val="0"/>
        <w:ind w:left="567" w:hanging="567"/>
        <w:jc w:val="both"/>
        <w:rPr>
          <w:rFonts w:ascii="Times New Roman" w:hAnsi="Times New Roman"/>
          <w:sz w:val="22"/>
          <w:u w:val="single"/>
        </w:rPr>
      </w:pPr>
      <w:r>
        <w:rPr>
          <w:rFonts w:ascii="Times New Roman" w:hAnsi="Times New Roman"/>
          <w:sz w:val="22"/>
        </w:rPr>
        <w:t>24.3</w:t>
      </w:r>
      <w:r>
        <w:t xml:space="preserve"> </w:t>
      </w:r>
      <w:r>
        <w:rPr>
          <w:rFonts w:ascii="Times New Roman" w:hAnsi="Times New Roman"/>
          <w:sz w:val="22"/>
          <w:u w:val="single"/>
        </w:rPr>
        <w:t>Lucha contra la corrupción y los sobornos</w:t>
      </w:r>
    </w:p>
    <w:p w14:paraId="5093F493" w14:textId="77777777" w:rsidR="0047783A" w:rsidRPr="00E82463" w:rsidRDefault="00442FF2" w:rsidP="00FC6A15">
      <w:pPr>
        <w:ind w:left="420"/>
        <w:jc w:val="both"/>
        <w:rPr>
          <w:rFonts w:ascii="Times New Roman" w:hAnsi="Times New Roman"/>
          <w:sz w:val="22"/>
        </w:rPr>
      </w:pPr>
      <w:r>
        <w:rPr>
          <w:rFonts w:ascii="Times New Roman" w:hAnsi="Times New Roman"/>
          <w:sz w:val="22"/>
          <w:szCs w:val="22"/>
        </w:rPr>
        <w:t>El licitador deberá cumplir todas las leyes y reglamentos aplicables y los códigos sobre la lucha contra el soborno y la lucha contra la corrupción. La Comisión Europea se reserva el derecho de suspender o anular la financiación de los proyectos si se descubren prácticas de corrupción de cualquier naturaleza en cualquier fase del procedimiento de adjudicación o durante la ejecución del contrato y si el Órgano de Contratación no toma todas las medidas oportunas para poner remedio a esta situación. A efectos de esta disposición, se entiende por «prácticas de corrupción» cualquier propuesta de soborno, regalo, gratificación o comisión a cualquier persona como incentivo o recompensa para que realice o se abstenga de realizar actos relacionados con la adjudicación del contrato o con la ejecución de un contrato ya suscrito con el Órgano de Contratación.</w:t>
      </w:r>
    </w:p>
    <w:p w14:paraId="571A7EB9" w14:textId="77777777" w:rsidR="00442FF2" w:rsidRDefault="0047783A" w:rsidP="0047783A">
      <w:pPr>
        <w:pStyle w:val="Ttulo2"/>
        <w:keepNext w:val="0"/>
        <w:ind w:left="567" w:hanging="567"/>
        <w:jc w:val="both"/>
        <w:rPr>
          <w:rFonts w:ascii="Times New Roman" w:hAnsi="Times New Roman"/>
          <w:sz w:val="22"/>
        </w:rPr>
      </w:pPr>
      <w:r>
        <w:rPr>
          <w:rFonts w:ascii="Times New Roman" w:hAnsi="Times New Roman"/>
          <w:sz w:val="22"/>
        </w:rPr>
        <w:t>24.4</w:t>
      </w:r>
      <w:r>
        <w:rPr>
          <w:rFonts w:ascii="Times New Roman" w:hAnsi="Times New Roman"/>
          <w:sz w:val="22"/>
        </w:rPr>
        <w:tab/>
      </w:r>
      <w:r>
        <w:rPr>
          <w:rFonts w:ascii="Times New Roman" w:hAnsi="Times New Roman"/>
          <w:sz w:val="22"/>
          <w:u w:val="single"/>
        </w:rPr>
        <w:t>Gastos comerciales no habituales</w:t>
      </w:r>
      <w:r>
        <w:rPr>
          <w:rFonts w:ascii="Times New Roman" w:hAnsi="Times New Roman"/>
          <w:sz w:val="22"/>
        </w:rPr>
        <w:t xml:space="preserve"> </w:t>
      </w:r>
    </w:p>
    <w:p w14:paraId="2E7C5873" w14:textId="77777777" w:rsidR="00442FF2" w:rsidRPr="00C348C0" w:rsidRDefault="00442FF2" w:rsidP="00442FF2">
      <w:pPr>
        <w:ind w:left="397"/>
        <w:jc w:val="both"/>
        <w:rPr>
          <w:rFonts w:ascii="Times New Roman" w:hAnsi="Times New Roman"/>
          <w:sz w:val="22"/>
          <w:szCs w:val="22"/>
        </w:rPr>
      </w:pPr>
      <w:r>
        <w:rPr>
          <w:rFonts w:ascii="Times New Roman" w:hAnsi="Times New Roman"/>
          <w:sz w:val="22"/>
          <w:szCs w:val="22"/>
        </w:rPr>
        <w:t>En caso de que la adjudicación o la ejecución de un contrato dé lugar a gastos comerciales no habituales, se rechazará la correspondiente oferta o se pondrá fin al contrato. Se entiende por «gastos comerciales no habituales» cualquier comisión que no se mencione en el contrato principal o que no resulte de un contrato válidamente formalizado que haga referencia a ese contrato principal, cualquier comisión que no constituya la contrapartida de un servicio legítima y efectivamente prestado, cualquier comisión abonada en un paraíso fiscal y cualquier comisión abonada a un beneficiario que no esté claramente identificado o a una sociedad que presente todas las apariencias de ser una empresa pantalla.</w:t>
      </w:r>
    </w:p>
    <w:p w14:paraId="7359F410" w14:textId="77777777" w:rsidR="00442FF2" w:rsidRPr="00C348C0" w:rsidRDefault="00442FF2" w:rsidP="00442FF2">
      <w:pPr>
        <w:ind w:left="397"/>
        <w:jc w:val="both"/>
        <w:rPr>
          <w:rFonts w:ascii="Times New Roman" w:hAnsi="Times New Roman"/>
          <w:sz w:val="22"/>
          <w:szCs w:val="22"/>
        </w:rPr>
      </w:pPr>
      <w:r>
        <w:rPr>
          <w:rFonts w:ascii="Times New Roman" w:hAnsi="Times New Roman"/>
          <w:sz w:val="22"/>
          <w:szCs w:val="22"/>
        </w:rPr>
        <w:t>Los contratistas respecto a los que se descubra que han pagado gastos comerciales no habituales en proyectos financiados por la Unión Europea se expondrán, según la gravedad de los hechos, a la resolución del contrato o a la exclusión definitiva de la posibilidad de recibir fondos de la UE.</w:t>
      </w:r>
    </w:p>
    <w:p w14:paraId="5CF5042B" w14:textId="77777777" w:rsidR="00442FF2" w:rsidRPr="00C348C0" w:rsidRDefault="0047783A" w:rsidP="0047783A">
      <w:pPr>
        <w:pStyle w:val="Ttulo2"/>
        <w:keepNext w:val="0"/>
        <w:ind w:left="567" w:hanging="567"/>
        <w:jc w:val="both"/>
        <w:rPr>
          <w:rFonts w:ascii="Times New Roman" w:hAnsi="Times New Roman"/>
          <w:sz w:val="22"/>
          <w:u w:val="single"/>
        </w:rPr>
      </w:pPr>
      <w:r>
        <w:rPr>
          <w:rFonts w:ascii="Times New Roman" w:hAnsi="Times New Roman"/>
          <w:sz w:val="22"/>
        </w:rPr>
        <w:t>24.5</w:t>
      </w:r>
      <w:r>
        <w:rPr>
          <w:rFonts w:ascii="Times New Roman" w:hAnsi="Times New Roman"/>
          <w:sz w:val="22"/>
        </w:rPr>
        <w:tab/>
      </w:r>
      <w:r>
        <w:rPr>
          <w:rFonts w:ascii="Times New Roman" w:hAnsi="Times New Roman"/>
          <w:sz w:val="22"/>
          <w:u w:val="single"/>
        </w:rPr>
        <w:t>Incumplimiento de obligaciones, irregularidades o fraude</w:t>
      </w:r>
    </w:p>
    <w:p w14:paraId="3EADD74A" w14:textId="77777777" w:rsidR="00442FF2" w:rsidRPr="00C348C0" w:rsidRDefault="00442FF2" w:rsidP="00442FF2">
      <w:pPr>
        <w:ind w:left="397"/>
        <w:jc w:val="both"/>
        <w:rPr>
          <w:rFonts w:ascii="Times New Roman" w:hAnsi="Times New Roman"/>
          <w:sz w:val="22"/>
          <w:szCs w:val="22"/>
        </w:rPr>
      </w:pPr>
      <w:r>
        <w:rPr>
          <w:rFonts w:ascii="Times New Roman" w:hAnsi="Times New Roman"/>
          <w:sz w:val="22"/>
          <w:szCs w:val="22"/>
        </w:rPr>
        <w:t>El Órgano de Contratación se reserva el derecho de suspender o anular el procedimiento cuando resulte que en el procedimiento de adjudicación se produjeron incumplimiento de obligaciones, irregularidades o fraude. Cuando tal incumplimiento, irregularidades o fraude se descubran tras la adjudicación del contrato, el Órgano de Contratación podrá abstenerse de celebrar el contrato.</w:t>
      </w:r>
    </w:p>
    <w:p w14:paraId="2E28FA6A" w14:textId="77777777" w:rsidR="00442FF2" w:rsidRPr="00C348C0" w:rsidRDefault="00442FF2" w:rsidP="00442FF2">
      <w:pPr>
        <w:ind w:left="567"/>
        <w:jc w:val="both"/>
        <w:rPr>
          <w:rFonts w:ascii="Times New Roman" w:hAnsi="Times New Roman"/>
          <w:sz w:val="22"/>
          <w:szCs w:val="22"/>
        </w:rPr>
      </w:pPr>
    </w:p>
    <w:p w14:paraId="751B87C0" w14:textId="77777777" w:rsidR="0047783A" w:rsidRPr="001A2BC4" w:rsidRDefault="00EA1ADC" w:rsidP="009956B4">
      <w:pPr>
        <w:pStyle w:val="Ttulo1"/>
      </w:pPr>
      <w:bookmarkStart w:id="35" w:name="_Toc42488093"/>
      <w:r>
        <w:t>25.</w:t>
      </w:r>
      <w:r>
        <w:tab/>
        <w:t>Anulación de la licitación</w:t>
      </w:r>
      <w:bookmarkEnd w:id="35"/>
    </w:p>
    <w:p w14:paraId="266FA0E6" w14:textId="77777777" w:rsidR="00032EDE" w:rsidRDefault="0047783A" w:rsidP="0047783A">
      <w:pPr>
        <w:pStyle w:val="Textoindependiente"/>
        <w:ind w:left="567"/>
        <w:jc w:val="both"/>
        <w:rPr>
          <w:rFonts w:ascii="Times New Roman" w:hAnsi="Times New Roman"/>
          <w:sz w:val="22"/>
        </w:rPr>
      </w:pPr>
      <w:r>
        <w:rPr>
          <w:rFonts w:ascii="Times New Roman" w:hAnsi="Times New Roman"/>
          <w:sz w:val="22"/>
        </w:rPr>
        <w:t xml:space="preserve">En el supuesto de que se anule una licitación, el Órgano de Contratación debe notificárselo a los licitadores. </w:t>
      </w:r>
    </w:p>
    <w:p w14:paraId="3C33C963" w14:textId="50E61991" w:rsidR="0047783A" w:rsidRPr="00E82463" w:rsidRDefault="0047783A" w:rsidP="0047783A">
      <w:pPr>
        <w:pStyle w:val="Textoindependiente"/>
        <w:ind w:left="567"/>
        <w:jc w:val="both"/>
        <w:rPr>
          <w:rFonts w:ascii="Times New Roman" w:hAnsi="Times New Roman"/>
        </w:rPr>
      </w:pPr>
      <w:r>
        <w:rPr>
          <w:rFonts w:ascii="Times New Roman" w:hAnsi="Times New Roman"/>
          <w:sz w:val="22"/>
        </w:rPr>
        <w:t>Si se cancela la licitación antes de la sesión de apertura de plicas, estas se devolverán a los licitadores sin abrirlas.</w:t>
      </w:r>
    </w:p>
    <w:p w14:paraId="29C19F87" w14:textId="77777777" w:rsidR="0047783A" w:rsidRPr="00E82463" w:rsidRDefault="0047783A" w:rsidP="00E82463">
      <w:pPr>
        <w:pStyle w:val="Textoindependiente"/>
        <w:spacing w:after="0"/>
        <w:ind w:left="567"/>
        <w:jc w:val="both"/>
        <w:rPr>
          <w:rFonts w:ascii="Times New Roman" w:hAnsi="Times New Roman"/>
          <w:sz w:val="22"/>
        </w:rPr>
      </w:pPr>
      <w:r>
        <w:rPr>
          <w:rFonts w:ascii="Times New Roman" w:hAnsi="Times New Roman"/>
          <w:sz w:val="22"/>
        </w:rPr>
        <w:t>La anulación podrá producirse, por ejemplo, en los casos siguientes:</w:t>
      </w:r>
    </w:p>
    <w:p w14:paraId="0411B93E" w14:textId="77777777" w:rsidR="0047783A" w:rsidRPr="00E82463" w:rsidRDefault="0047783A" w:rsidP="00E82463">
      <w:pPr>
        <w:pStyle w:val="Sangradetextonormal"/>
        <w:numPr>
          <w:ilvl w:val="0"/>
          <w:numId w:val="21"/>
        </w:numPr>
        <w:tabs>
          <w:tab w:val="left" w:pos="1134"/>
        </w:tabs>
        <w:spacing w:before="120"/>
        <w:ind w:left="1134"/>
        <w:rPr>
          <w:sz w:val="22"/>
        </w:rPr>
      </w:pPr>
      <w:r>
        <w:rPr>
          <w:sz w:val="22"/>
        </w:rPr>
        <w:t>cuando la licitación quede desierta, es decir, cuando no se haya recibido ninguna oferta adecuada o cuando ninguna de las ofertas recibidas fuera aceptable desde el punto de vista cualitativo o económico;</w:t>
      </w:r>
    </w:p>
    <w:p w14:paraId="36FC1FAB" w14:textId="77777777" w:rsidR="0047783A" w:rsidRPr="00E82463" w:rsidRDefault="0047783A" w:rsidP="00AC07D4">
      <w:pPr>
        <w:pStyle w:val="Sangradetextonormal"/>
        <w:numPr>
          <w:ilvl w:val="0"/>
          <w:numId w:val="21"/>
        </w:numPr>
        <w:tabs>
          <w:tab w:val="left" w:pos="1134"/>
        </w:tabs>
        <w:spacing w:before="120"/>
        <w:ind w:left="1134"/>
        <w:rPr>
          <w:sz w:val="22"/>
        </w:rPr>
      </w:pPr>
      <w:r>
        <w:rPr>
          <w:sz w:val="22"/>
        </w:rPr>
        <w:lastRenderedPageBreak/>
        <w:t>cuando los elementos técnicos o económicos del proyecto se hayan modificado de manera fundamental;</w:t>
      </w:r>
    </w:p>
    <w:p w14:paraId="0157BA0B" w14:textId="77777777" w:rsidR="0047783A" w:rsidRPr="00E82463" w:rsidRDefault="0047783A" w:rsidP="00AC07D4">
      <w:pPr>
        <w:pStyle w:val="Sangradetextonormal"/>
        <w:numPr>
          <w:ilvl w:val="0"/>
          <w:numId w:val="21"/>
        </w:numPr>
        <w:tabs>
          <w:tab w:val="left" w:pos="1134"/>
        </w:tabs>
        <w:spacing w:before="120"/>
        <w:ind w:left="1134"/>
        <w:rPr>
          <w:sz w:val="22"/>
        </w:rPr>
      </w:pPr>
      <w:r>
        <w:rPr>
          <w:sz w:val="22"/>
        </w:rPr>
        <w:t>cuando circunstancias excepcionales o de fuerza mayor hagan imposible la ejecución normal del proyecto;</w:t>
      </w:r>
    </w:p>
    <w:p w14:paraId="1D88E016" w14:textId="77777777" w:rsidR="0047783A" w:rsidRPr="00E82463" w:rsidRDefault="0047783A" w:rsidP="00AC07D4">
      <w:pPr>
        <w:pStyle w:val="Sangradetextonormal"/>
        <w:numPr>
          <w:ilvl w:val="0"/>
          <w:numId w:val="21"/>
        </w:numPr>
        <w:tabs>
          <w:tab w:val="left" w:pos="1134"/>
        </w:tabs>
        <w:spacing w:before="120"/>
        <w:ind w:left="1134"/>
        <w:rPr>
          <w:sz w:val="22"/>
        </w:rPr>
      </w:pPr>
      <w:r>
        <w:rPr>
          <w:sz w:val="22"/>
        </w:rPr>
        <w:t>cuando todas las ofertas aceptables desde el punto de vista técnico excedan los recursos financieros disponibles;</w:t>
      </w:r>
    </w:p>
    <w:p w14:paraId="2709664A" w14:textId="77777777" w:rsidR="0047783A" w:rsidRPr="00E82463" w:rsidRDefault="0047783A" w:rsidP="00AC07D4">
      <w:pPr>
        <w:pStyle w:val="Sangradetextonormal"/>
        <w:numPr>
          <w:ilvl w:val="0"/>
          <w:numId w:val="21"/>
        </w:numPr>
        <w:tabs>
          <w:tab w:val="left" w:pos="1134"/>
        </w:tabs>
        <w:spacing w:before="120" w:after="120"/>
        <w:ind w:left="1134"/>
        <w:rPr>
          <w:sz w:val="22"/>
        </w:rPr>
      </w:pPr>
      <w:r>
        <w:rPr>
          <w:sz w:val="22"/>
        </w:rPr>
        <w:t>cuando se hayan incumplido las obligaciones pertinentes o se hayan producido irregularidades o fraudes en el procedimiento, especialmente si han impedido una competencia leal;</w:t>
      </w:r>
    </w:p>
    <w:p w14:paraId="2EA5F000" w14:textId="77777777" w:rsidR="0047783A" w:rsidRPr="00E82463" w:rsidRDefault="0047783A" w:rsidP="00AC07D4">
      <w:pPr>
        <w:pStyle w:val="Sangradetextonormal"/>
        <w:numPr>
          <w:ilvl w:val="0"/>
          <w:numId w:val="21"/>
        </w:numPr>
        <w:tabs>
          <w:tab w:val="left" w:pos="1134"/>
        </w:tabs>
        <w:spacing w:before="120" w:after="120"/>
        <w:ind w:left="1134"/>
        <w:rPr>
          <w:sz w:val="22"/>
          <w:szCs w:val="22"/>
        </w:rPr>
      </w:pPr>
      <w:r>
        <w:rPr>
          <w:snapToGrid/>
          <w:sz w:val="22"/>
          <w:szCs w:val="22"/>
        </w:rPr>
        <w:t>cuando la adjudicación no cumpla con una buena gestión financiera, es decir, no respete los principios de economía, eficiencia y eficacia (por ejemplo, si el precio propuesto por el licitador al que se adjudicó el contrato es objetivamente desproporcionado en comparación con el precio de mercado).</w:t>
      </w:r>
    </w:p>
    <w:p w14:paraId="2EF4FA4B" w14:textId="77777777" w:rsidR="0047783A" w:rsidRPr="009956B4" w:rsidRDefault="0047783A" w:rsidP="0047783A">
      <w:pPr>
        <w:pStyle w:val="Textoindependiente2"/>
        <w:tabs>
          <w:tab w:val="left" w:pos="567"/>
        </w:tabs>
        <w:spacing w:before="120" w:after="120"/>
        <w:ind w:left="567"/>
        <w:rPr>
          <w:sz w:val="22"/>
          <w:szCs w:val="22"/>
        </w:rPr>
      </w:pPr>
      <w:r>
        <w:rPr>
          <w:sz w:val="22"/>
          <w:szCs w:val="22"/>
        </w:rPr>
        <w:t>En ningún caso podrá serle atribuida al Órgano de Contratación responsabilidad por cualesquiera daños, incluidos, sin carácter restrictivo, los daños por lucro cesante, ocasionados o relacionados en cualquier modo con la anulación de una licitación, incluso en el caso de que el Órgano de Contratación hubiere sido advertido de la posibilidad de la interposición de una reclamación por daños y perjuicios. La publicación de un anuncio de contrato no supone que el Órgano de Contratación contraiga obligación legal alguna de aplicar el programa o ejecutar el proyecto anunciado.</w:t>
      </w:r>
    </w:p>
    <w:p w14:paraId="0732D99E" w14:textId="77777777" w:rsidR="0047783A" w:rsidRPr="001A2BC4" w:rsidRDefault="00EA1ADC" w:rsidP="009956B4">
      <w:pPr>
        <w:pStyle w:val="Ttulo1"/>
      </w:pPr>
      <w:r>
        <w:t xml:space="preserve">26. </w:t>
      </w:r>
      <w:r>
        <w:tab/>
        <w:t>Recursos</w:t>
      </w:r>
    </w:p>
    <w:p w14:paraId="748062B9" w14:textId="0090240F" w:rsidR="00A50D37" w:rsidRPr="00CC0F8E" w:rsidRDefault="0047783A" w:rsidP="00CC0F8E">
      <w:pPr>
        <w:pStyle w:val="Textoindependiente2"/>
        <w:tabs>
          <w:tab w:val="clear" w:pos="567"/>
        </w:tabs>
        <w:spacing w:after="120"/>
        <w:ind w:left="567"/>
        <w:rPr>
          <w:sz w:val="22"/>
          <w:szCs w:val="22"/>
        </w:rPr>
      </w:pPr>
      <w:r>
        <w:rPr>
          <w:sz w:val="22"/>
          <w:szCs w:val="22"/>
        </w:rPr>
        <w:t>Los licitadores que consideren que han resultado perjudicados por un error o irregularidad durante el proceso de adjudicación podrán presentar una reclamación. Véase el apartado 2.12 de la Guía Práctica.</w:t>
      </w:r>
    </w:p>
    <w:p w14:paraId="2F4845EF" w14:textId="3FC2838A" w:rsidR="0047783A" w:rsidRPr="001A2BC4" w:rsidRDefault="00EA1ADC" w:rsidP="009956B4">
      <w:pPr>
        <w:pStyle w:val="Ttulo1"/>
        <w:rPr>
          <w:bCs/>
          <w:sz w:val="22"/>
          <w:szCs w:val="22"/>
        </w:rPr>
      </w:pPr>
      <w:r>
        <w:t>2</w:t>
      </w:r>
      <w:r w:rsidR="00CC0F8E">
        <w:t>7</w:t>
      </w:r>
      <w:r>
        <w:t>.</w:t>
      </w:r>
      <w:r>
        <w:tab/>
        <w:t>Sistema de detección precoz y exclusión</w:t>
      </w:r>
    </w:p>
    <w:p w14:paraId="02AFB167" w14:textId="1148BBAF" w:rsidR="00130EF1" w:rsidRDefault="0047783A" w:rsidP="00CC1A28">
      <w:pPr>
        <w:pStyle w:val="Textoindependiente"/>
        <w:ind w:left="567"/>
        <w:jc w:val="both"/>
        <w:rPr>
          <w:rFonts w:ascii="Times New Roman" w:hAnsi="Times New Roman"/>
          <w:sz w:val="22"/>
          <w:szCs w:val="22"/>
        </w:rPr>
      </w:pPr>
      <w:r>
        <w:rPr>
          <w:rFonts w:ascii="Times New Roman" w:hAnsi="Times New Roman"/>
          <w:sz w:val="22"/>
          <w:szCs w:val="22"/>
        </w:rPr>
        <w:t>Los licitadores, y en caso de personas jurídicas, las personas que tengan facultades de representación, de toma de decisiones o de control sobre dichas personas jurídicas, son informados de que, en caso de encontrarse en cualquiera de las situaciones de detección precoz o de exclusión, sus datos personales (nombre y apellidos, en caso de personas físicas, domicilio, forma jurídica, nombre y apellidos de las personas con facultades de representación, de toma de decisiones o de control, en caso de personas jurídicas) podrían ser incluidos en el sistema de detección precoz y de exclusión, y podrían ser comunicados a las personas y entidades incluidas en la decisión mencionada respecto a la atribución o ejecución de un contrato público.</w:t>
      </w:r>
    </w:p>
    <w:p w14:paraId="4A5EA8D1" w14:textId="4FA4D569" w:rsidR="00A820FC" w:rsidRPr="00D621D6" w:rsidRDefault="00A820FC" w:rsidP="00CC0F8E">
      <w:pPr>
        <w:pStyle w:val="Textoindependiente"/>
        <w:jc w:val="both"/>
        <w:rPr>
          <w:rFonts w:ascii="Times New Roman" w:hAnsi="Times New Roman"/>
          <w:sz w:val="22"/>
          <w:szCs w:val="22"/>
        </w:rPr>
      </w:pPr>
      <w:bookmarkStart w:id="36" w:name="_GoBack"/>
      <w:bookmarkEnd w:id="36"/>
    </w:p>
    <w:sectPr w:rsidR="00A820FC" w:rsidRPr="00D621D6" w:rsidSect="00CC0F8E">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709" w:left="1418" w:header="720" w:footer="471" w:gutter="567"/>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06151D" w14:textId="77777777" w:rsidR="00DE2953" w:rsidRPr="006A5F84" w:rsidRDefault="00DE2953">
      <w:r w:rsidRPr="006A5F84">
        <w:separator/>
      </w:r>
    </w:p>
  </w:endnote>
  <w:endnote w:type="continuationSeparator" w:id="0">
    <w:p w14:paraId="4833E7E8" w14:textId="77777777" w:rsidR="00DE2953" w:rsidRPr="006A5F84" w:rsidRDefault="00DE2953">
      <w:r w:rsidRPr="006A5F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Optim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347A8F" w14:textId="77777777" w:rsidR="00617DA1" w:rsidRDefault="00617DA1" w:rsidP="0047783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rPr>
      <w:t>2</w:t>
    </w:r>
    <w:r>
      <w:rPr>
        <w:rStyle w:val="Nmerodepgina"/>
      </w:rPr>
      <w:fldChar w:fldCharType="end"/>
    </w:r>
  </w:p>
  <w:p w14:paraId="5D4E8170" w14:textId="77777777" w:rsidR="00617DA1" w:rsidRDefault="00617DA1" w:rsidP="0047783A">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77E837" w14:textId="12B71431" w:rsidR="00617DA1" w:rsidRPr="009423FB" w:rsidRDefault="00617DA1" w:rsidP="009423FB">
    <w:pPr>
      <w:pStyle w:val="Piedepgina"/>
      <w:tabs>
        <w:tab w:val="clear" w:pos="4320"/>
        <w:tab w:val="clear" w:pos="8640"/>
        <w:tab w:val="right" w:pos="8647"/>
      </w:tabs>
      <w:spacing w:after="0"/>
      <w:ind w:right="6"/>
      <w:rPr>
        <w:rStyle w:val="Nmerodepgina"/>
        <w:rFonts w:ascii="Times New Roman" w:hAnsi="Times New Roman"/>
        <w:sz w:val="18"/>
        <w:szCs w:val="18"/>
      </w:rPr>
    </w:pPr>
    <w:r>
      <w:rPr>
        <w:rFonts w:ascii="Times New Roman" w:hAnsi="Times New Roman"/>
        <w:b/>
        <w:sz w:val="18"/>
      </w:rPr>
      <w:t>2021.1</w:t>
    </w:r>
    <w:r>
      <w:rPr>
        <w:rFonts w:ascii="Times New Roman" w:hAnsi="Times New Roman"/>
        <w:sz w:val="18"/>
        <w:szCs w:val="18"/>
      </w:rPr>
      <w:tab/>
    </w:r>
    <w:r>
      <w:rPr>
        <w:rStyle w:val="Nmerodepgina"/>
        <w:rFonts w:ascii="Times New Roman" w:hAnsi="Times New Roman"/>
        <w:sz w:val="18"/>
        <w:szCs w:val="18"/>
      </w:rPr>
      <w:t xml:space="preserve">Página </w:t>
    </w:r>
    <w:r w:rsidRPr="009423FB">
      <w:rPr>
        <w:rStyle w:val="Nmerodepgina"/>
        <w:rFonts w:ascii="Times New Roman" w:hAnsi="Times New Roman"/>
        <w:sz w:val="18"/>
        <w:szCs w:val="18"/>
      </w:rPr>
      <w:fldChar w:fldCharType="begin"/>
    </w:r>
    <w:r w:rsidRPr="009423FB">
      <w:rPr>
        <w:rStyle w:val="Nmerodepgina"/>
        <w:rFonts w:ascii="Times New Roman" w:hAnsi="Times New Roman"/>
        <w:sz w:val="18"/>
        <w:szCs w:val="18"/>
      </w:rPr>
      <w:instrText xml:space="preserve"> PAGE </w:instrText>
    </w:r>
    <w:r w:rsidRPr="009423FB">
      <w:rPr>
        <w:rStyle w:val="Nmerodepgina"/>
        <w:rFonts w:ascii="Times New Roman" w:hAnsi="Times New Roman"/>
        <w:sz w:val="18"/>
        <w:szCs w:val="18"/>
      </w:rPr>
      <w:fldChar w:fldCharType="separate"/>
    </w:r>
    <w:r w:rsidR="00066FE4">
      <w:rPr>
        <w:rStyle w:val="Nmerodepgina"/>
        <w:rFonts w:ascii="Times New Roman" w:hAnsi="Times New Roman"/>
        <w:noProof/>
        <w:sz w:val="18"/>
        <w:szCs w:val="18"/>
      </w:rPr>
      <w:t>13</w:t>
    </w:r>
    <w:r w:rsidRPr="009423FB">
      <w:rPr>
        <w:rStyle w:val="Nmerodepgina"/>
        <w:rFonts w:ascii="Times New Roman" w:hAnsi="Times New Roman"/>
        <w:sz w:val="18"/>
        <w:szCs w:val="18"/>
      </w:rPr>
      <w:fldChar w:fldCharType="end"/>
    </w:r>
    <w:r>
      <w:rPr>
        <w:rStyle w:val="Nmerodepgina"/>
        <w:rFonts w:ascii="Times New Roman" w:hAnsi="Times New Roman"/>
        <w:sz w:val="18"/>
        <w:szCs w:val="18"/>
      </w:rPr>
      <w:t xml:space="preserve"> de </w:t>
    </w:r>
    <w:r w:rsidRPr="009423FB">
      <w:rPr>
        <w:rStyle w:val="Nmerodepgina"/>
        <w:rFonts w:ascii="Times New Roman" w:hAnsi="Times New Roman"/>
        <w:sz w:val="18"/>
        <w:szCs w:val="18"/>
      </w:rPr>
      <w:fldChar w:fldCharType="begin"/>
    </w:r>
    <w:r w:rsidRPr="009423FB">
      <w:rPr>
        <w:rStyle w:val="Nmerodepgina"/>
        <w:rFonts w:ascii="Times New Roman" w:hAnsi="Times New Roman"/>
        <w:sz w:val="18"/>
        <w:szCs w:val="18"/>
      </w:rPr>
      <w:instrText xml:space="preserve"> NUMPAGES </w:instrText>
    </w:r>
    <w:r w:rsidRPr="009423FB">
      <w:rPr>
        <w:rStyle w:val="Nmerodepgina"/>
        <w:rFonts w:ascii="Times New Roman" w:hAnsi="Times New Roman"/>
        <w:sz w:val="18"/>
        <w:szCs w:val="18"/>
      </w:rPr>
      <w:fldChar w:fldCharType="separate"/>
    </w:r>
    <w:r w:rsidR="00066FE4">
      <w:rPr>
        <w:rStyle w:val="Nmerodepgina"/>
        <w:rFonts w:ascii="Times New Roman" w:hAnsi="Times New Roman"/>
        <w:noProof/>
        <w:sz w:val="18"/>
        <w:szCs w:val="18"/>
      </w:rPr>
      <w:t>13</w:t>
    </w:r>
    <w:r w:rsidRPr="009423FB">
      <w:rPr>
        <w:rStyle w:val="Nmerodepgina"/>
        <w:rFonts w:ascii="Times New Roman" w:hAnsi="Times New Roman"/>
        <w:sz w:val="18"/>
        <w:szCs w:val="18"/>
      </w:rPr>
      <w:fldChar w:fldCharType="end"/>
    </w:r>
  </w:p>
  <w:p w14:paraId="5D145687" w14:textId="18EB8ACF" w:rsidR="00617DA1" w:rsidRPr="009423FB" w:rsidRDefault="00617DA1" w:rsidP="009423FB">
    <w:pPr>
      <w:spacing w:before="0" w:after="0"/>
      <w:rPr>
        <w:rFonts w:ascii="Times New Roman" w:hAnsi="Times New Roman"/>
        <w:sz w:val="18"/>
        <w:szCs w:val="18"/>
      </w:rPr>
    </w:pPr>
    <w:r w:rsidRPr="009423FB">
      <w:rPr>
        <w:rFonts w:ascii="Times New Roman" w:hAnsi="Times New Roman"/>
        <w:sz w:val="18"/>
        <w:szCs w:val="18"/>
      </w:rPr>
      <w:fldChar w:fldCharType="begin"/>
    </w:r>
    <w:r w:rsidRPr="009423FB">
      <w:rPr>
        <w:rFonts w:ascii="Times New Roman" w:hAnsi="Times New Roman"/>
        <w:sz w:val="18"/>
        <w:szCs w:val="18"/>
      </w:rPr>
      <w:instrText xml:space="preserve"> FILENAME </w:instrText>
    </w:r>
    <w:r w:rsidRPr="009423FB">
      <w:rPr>
        <w:rFonts w:ascii="Times New Roman" w:hAnsi="Times New Roman"/>
        <w:sz w:val="18"/>
        <w:szCs w:val="18"/>
      </w:rPr>
      <w:fldChar w:fldCharType="separate"/>
    </w:r>
    <w:r>
      <w:rPr>
        <w:rFonts w:ascii="Times New Roman" w:hAnsi="Times New Roman"/>
        <w:noProof/>
        <w:sz w:val="18"/>
        <w:szCs w:val="18"/>
      </w:rPr>
      <w:t>c4b_itt_es.docx</w:t>
    </w:r>
    <w:r w:rsidRPr="009423FB">
      <w:rPr>
        <w:rFonts w:ascii="Times New Roman" w:hAnsi="Times New Roman"/>
        <w:sz w:val="18"/>
        <w:szCs w:val="18"/>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48851" w14:textId="77777777" w:rsidR="00617DA1" w:rsidRPr="006A5F84" w:rsidRDefault="00617DA1" w:rsidP="0047783A">
    <w:pPr>
      <w:pStyle w:val="Piedepgina"/>
      <w:framePr w:wrap="around" w:vAnchor="text" w:hAnchor="margin" w:xAlign="right" w:y="1"/>
      <w:rPr>
        <w:rStyle w:val="Nmerodepgina"/>
      </w:rPr>
    </w:pPr>
    <w:r w:rsidRPr="006A5F84">
      <w:rPr>
        <w:rStyle w:val="Nmerodepgina"/>
      </w:rPr>
      <w:fldChar w:fldCharType="begin"/>
    </w:r>
    <w:r w:rsidRPr="006A5F84">
      <w:rPr>
        <w:rStyle w:val="Nmerodepgina"/>
      </w:rPr>
      <w:instrText xml:space="preserve">PAGE  </w:instrText>
    </w:r>
    <w:r w:rsidRPr="006A5F84">
      <w:rPr>
        <w:rStyle w:val="Nmerodepgina"/>
      </w:rPr>
      <w:fldChar w:fldCharType="separate"/>
    </w:r>
    <w:r w:rsidRPr="006A5F84">
      <w:rPr>
        <w:rStyle w:val="Nmerodepgina"/>
      </w:rPr>
      <w:t>1</w:t>
    </w:r>
    <w:r w:rsidRPr="006A5F84">
      <w:rPr>
        <w:rStyle w:val="Nmerodepgina"/>
      </w:rPr>
      <w:fldChar w:fldCharType="end"/>
    </w:r>
  </w:p>
  <w:p w14:paraId="4B8E51A2" w14:textId="77777777" w:rsidR="00617DA1" w:rsidRPr="006A5F84" w:rsidRDefault="00617DA1" w:rsidP="0047783A">
    <w:pPr>
      <w:pStyle w:val="Piedepgina"/>
      <w:ind w:right="360"/>
    </w:pPr>
    <w:r>
      <w:t>2006</w:t>
    </w:r>
    <w:r>
      <w:tab/>
    </w:r>
    <w:r>
      <w:tab/>
    </w:r>
    <w:r>
      <w:tab/>
    </w:r>
    <w:r>
      <w:tab/>
    </w:r>
    <w:r>
      <w:tab/>
    </w:r>
    <w:r>
      <w:tab/>
    </w:r>
    <w:r>
      <w:tab/>
    </w:r>
    <w:r>
      <w:tab/>
    </w:r>
    <w:r>
      <w:tab/>
    </w:r>
    <w:r>
      <w:tab/>
    </w:r>
    <w:r>
      <w:tab/>
    </w:r>
    <w:r>
      <w:tab/>
    </w:r>
    <w:r>
      <w:tab/>
    </w:r>
    <w:r>
      <w:tab/>
    </w:r>
    <w:r>
      <w:tab/>
    </w:r>
    <w:r>
      <w:tab/>
    </w: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BC7E3C" w14:textId="77777777" w:rsidR="00DE2953" w:rsidRPr="006A5F84" w:rsidRDefault="00DE2953">
      <w:r w:rsidRPr="006A5F84">
        <w:separator/>
      </w:r>
    </w:p>
  </w:footnote>
  <w:footnote w:type="continuationSeparator" w:id="0">
    <w:p w14:paraId="4417BE00" w14:textId="77777777" w:rsidR="00DE2953" w:rsidRPr="006A5F84" w:rsidRDefault="00DE2953">
      <w:r w:rsidRPr="006A5F84">
        <w:continuationSeparator/>
      </w:r>
    </w:p>
  </w:footnote>
  <w:footnote w:id="1">
    <w:p w14:paraId="7C36EC89" w14:textId="77777777" w:rsidR="00617DA1" w:rsidRPr="00C348C0" w:rsidRDefault="00617DA1" w:rsidP="009956B4">
      <w:pPr>
        <w:pStyle w:val="Textonotapie"/>
        <w:spacing w:after="0"/>
        <w:jc w:val="both"/>
      </w:pPr>
      <w:r>
        <w:rPr>
          <w:rStyle w:val="Refdenotaalpie"/>
        </w:rPr>
        <w:footnoteRef/>
      </w:r>
      <w:r>
        <w:t xml:space="preserve"> Véase el apartado 2.6.10.1.3 A de la Guía Práctica.</w:t>
      </w:r>
    </w:p>
  </w:footnote>
  <w:footnote w:id="2">
    <w:p w14:paraId="1419836C" w14:textId="77777777" w:rsidR="00617DA1" w:rsidRPr="00C348C0" w:rsidRDefault="00617DA1" w:rsidP="001A2BC4">
      <w:pPr>
        <w:pStyle w:val="Textonotapie"/>
        <w:spacing w:after="0"/>
        <w:jc w:val="both"/>
      </w:pPr>
      <w:r>
        <w:rPr>
          <w:rStyle w:val="Refdenotaalpie"/>
        </w:rPr>
        <w:footnoteRef/>
      </w:r>
      <w:r>
        <w:t xml:space="preserve"> Se recomienda utilizar el correo certificado en caso de que el matasellos no sea legible.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CDD79" w14:textId="77777777" w:rsidR="00617DA1" w:rsidRDefault="00617DA1">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22B7E" w14:textId="77777777" w:rsidR="00617DA1" w:rsidRDefault="00617DA1">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40B6D9" w14:textId="77777777" w:rsidR="00617DA1" w:rsidRDefault="00617DA1">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27A37D8"/>
    <w:multiLevelType w:val="hybridMultilevel"/>
    <w:tmpl w:val="B616EDBA"/>
    <w:lvl w:ilvl="0" w:tplc="9614E15A">
      <w:start w:val="1"/>
      <w:numFmt w:val="decimal"/>
      <w:pStyle w:val="Numbered"/>
      <w:lvlText w:val="%1."/>
      <w:lvlJc w:val="left"/>
      <w:pPr>
        <w:ind w:left="720" w:hanging="360"/>
      </w:pPr>
      <w:rPr>
        <w:rFonts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641C74">
      <w:start w:val="2"/>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C449BD"/>
    <w:multiLevelType w:val="hybridMultilevel"/>
    <w:tmpl w:val="87B83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7D459C"/>
    <w:multiLevelType w:val="multilevel"/>
    <w:tmpl w:val="5C64BB32"/>
    <w:lvl w:ilvl="0">
      <w:start w:val="20"/>
      <w:numFmt w:val="decimal"/>
      <w:lvlText w:val="%1"/>
      <w:lvlJc w:val="left"/>
      <w:pPr>
        <w:ind w:left="420" w:hanging="420"/>
      </w:pPr>
      <w:rPr>
        <w:rFonts w:hint="default"/>
      </w:rPr>
    </w:lvl>
    <w:lvl w:ilvl="1">
      <w:start w:val="7"/>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B561F9D"/>
    <w:multiLevelType w:val="hybridMultilevel"/>
    <w:tmpl w:val="E5A6A264"/>
    <w:lvl w:ilvl="0" w:tplc="473C203E">
      <w:start w:val="1"/>
      <w:numFmt w:val="decimal"/>
      <w:pStyle w:val="PRAGHeading2"/>
      <w:lvlText w:val="%1."/>
      <w:lvlJc w:val="left"/>
      <w:pPr>
        <w:tabs>
          <w:tab w:val="num" w:pos="284"/>
        </w:tabs>
        <w:ind w:left="284" w:firstLine="0"/>
      </w:pPr>
      <w:rPr>
        <w:rFonts w:ascii="Times New Roman" w:hAnsi="Times New Roman" w:hint="default"/>
        <w:b/>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0222114"/>
    <w:multiLevelType w:val="hybridMultilevel"/>
    <w:tmpl w:val="26760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3657F4"/>
    <w:multiLevelType w:val="hybridMultilevel"/>
    <w:tmpl w:val="E8EEA556"/>
    <w:lvl w:ilvl="0" w:tplc="04090007">
      <w:start w:val="1"/>
      <w:numFmt w:val="bullet"/>
      <w:lvlText w:val=""/>
      <w:lvlJc w:val="left"/>
      <w:pPr>
        <w:tabs>
          <w:tab w:val="num" w:pos="360"/>
        </w:tabs>
        <w:ind w:left="360" w:hanging="360"/>
      </w:pPr>
      <w:rPr>
        <w:rFonts w:ascii="Wingdings" w:hAnsi="Wingdings" w:hint="default"/>
        <w:sz w:val="16"/>
      </w:rPr>
    </w:lvl>
    <w:lvl w:ilvl="1" w:tplc="08090003">
      <w:start w:val="1"/>
      <w:numFmt w:val="bullet"/>
      <w:lvlText w:val="o"/>
      <w:lvlJc w:val="left"/>
      <w:pPr>
        <w:tabs>
          <w:tab w:val="num" w:pos="1440"/>
        </w:tabs>
        <w:ind w:left="1440" w:hanging="360"/>
      </w:pPr>
      <w:rPr>
        <w:rFonts w:ascii="Courier New" w:hAnsi="Courier New" w:cs="Courier New" w:hint="default"/>
        <w:sz w:val="16"/>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21303B"/>
    <w:multiLevelType w:val="hybridMultilevel"/>
    <w:tmpl w:val="B6D6C0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700B5C"/>
    <w:multiLevelType w:val="hybridMultilevel"/>
    <w:tmpl w:val="40D2096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1B263917"/>
    <w:multiLevelType w:val="hybridMultilevel"/>
    <w:tmpl w:val="49604146"/>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1EE164C6"/>
    <w:multiLevelType w:val="hybridMultilevel"/>
    <w:tmpl w:val="1680696A"/>
    <w:lvl w:ilvl="0" w:tplc="D1AC5EC0">
      <w:numFmt w:val="bullet"/>
      <w:lvlText w:val="-"/>
      <w:lvlJc w:val="left"/>
      <w:pPr>
        <w:tabs>
          <w:tab w:val="num" w:pos="1080"/>
        </w:tabs>
        <w:ind w:left="1080" w:hanging="360"/>
      </w:pPr>
      <w:rPr>
        <w:rFonts w:ascii="Times New Roman" w:eastAsia="Times New Roman" w:hAnsi="Times New Roman"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FB50D93"/>
    <w:multiLevelType w:val="hybridMultilevel"/>
    <w:tmpl w:val="5B52CCCC"/>
    <w:lvl w:ilvl="0" w:tplc="08090001">
      <w:start w:val="1"/>
      <w:numFmt w:val="bullet"/>
      <w:lvlText w:val=""/>
      <w:lvlJc w:val="left"/>
      <w:pPr>
        <w:tabs>
          <w:tab w:val="num" w:pos="786"/>
        </w:tabs>
        <w:ind w:left="786" w:hanging="360"/>
      </w:pPr>
      <w:rPr>
        <w:rFonts w:ascii="Symbol" w:hAnsi="Symbol" w:hint="default"/>
      </w:rPr>
    </w:lvl>
    <w:lvl w:ilvl="1" w:tplc="08090003" w:tentative="1">
      <w:start w:val="1"/>
      <w:numFmt w:val="bullet"/>
      <w:lvlText w:val="o"/>
      <w:lvlJc w:val="left"/>
      <w:pPr>
        <w:tabs>
          <w:tab w:val="num" w:pos="1506"/>
        </w:tabs>
        <w:ind w:left="1506" w:hanging="360"/>
      </w:pPr>
      <w:rPr>
        <w:rFonts w:ascii="Courier New" w:hAnsi="Courier New" w:cs="Courier New" w:hint="default"/>
      </w:rPr>
    </w:lvl>
    <w:lvl w:ilvl="2" w:tplc="08090005" w:tentative="1">
      <w:start w:val="1"/>
      <w:numFmt w:val="bullet"/>
      <w:lvlText w:val=""/>
      <w:lvlJc w:val="left"/>
      <w:pPr>
        <w:tabs>
          <w:tab w:val="num" w:pos="2226"/>
        </w:tabs>
        <w:ind w:left="2226" w:hanging="360"/>
      </w:pPr>
      <w:rPr>
        <w:rFonts w:ascii="Wingdings" w:hAnsi="Wingdings" w:hint="default"/>
      </w:rPr>
    </w:lvl>
    <w:lvl w:ilvl="3" w:tplc="08090001" w:tentative="1">
      <w:start w:val="1"/>
      <w:numFmt w:val="bullet"/>
      <w:lvlText w:val=""/>
      <w:lvlJc w:val="left"/>
      <w:pPr>
        <w:tabs>
          <w:tab w:val="num" w:pos="2946"/>
        </w:tabs>
        <w:ind w:left="2946" w:hanging="360"/>
      </w:pPr>
      <w:rPr>
        <w:rFonts w:ascii="Symbol" w:hAnsi="Symbol" w:hint="default"/>
      </w:rPr>
    </w:lvl>
    <w:lvl w:ilvl="4" w:tplc="08090003" w:tentative="1">
      <w:start w:val="1"/>
      <w:numFmt w:val="bullet"/>
      <w:lvlText w:val="o"/>
      <w:lvlJc w:val="left"/>
      <w:pPr>
        <w:tabs>
          <w:tab w:val="num" w:pos="3666"/>
        </w:tabs>
        <w:ind w:left="3666" w:hanging="360"/>
      </w:pPr>
      <w:rPr>
        <w:rFonts w:ascii="Courier New" w:hAnsi="Courier New" w:cs="Courier New" w:hint="default"/>
      </w:rPr>
    </w:lvl>
    <w:lvl w:ilvl="5" w:tplc="08090005" w:tentative="1">
      <w:start w:val="1"/>
      <w:numFmt w:val="bullet"/>
      <w:lvlText w:val=""/>
      <w:lvlJc w:val="left"/>
      <w:pPr>
        <w:tabs>
          <w:tab w:val="num" w:pos="4386"/>
        </w:tabs>
        <w:ind w:left="4386" w:hanging="360"/>
      </w:pPr>
      <w:rPr>
        <w:rFonts w:ascii="Wingdings" w:hAnsi="Wingdings" w:hint="default"/>
      </w:rPr>
    </w:lvl>
    <w:lvl w:ilvl="6" w:tplc="08090001" w:tentative="1">
      <w:start w:val="1"/>
      <w:numFmt w:val="bullet"/>
      <w:lvlText w:val=""/>
      <w:lvlJc w:val="left"/>
      <w:pPr>
        <w:tabs>
          <w:tab w:val="num" w:pos="5106"/>
        </w:tabs>
        <w:ind w:left="5106" w:hanging="360"/>
      </w:pPr>
      <w:rPr>
        <w:rFonts w:ascii="Symbol" w:hAnsi="Symbol" w:hint="default"/>
      </w:rPr>
    </w:lvl>
    <w:lvl w:ilvl="7" w:tplc="08090003" w:tentative="1">
      <w:start w:val="1"/>
      <w:numFmt w:val="bullet"/>
      <w:lvlText w:val="o"/>
      <w:lvlJc w:val="left"/>
      <w:pPr>
        <w:tabs>
          <w:tab w:val="num" w:pos="5826"/>
        </w:tabs>
        <w:ind w:left="5826" w:hanging="360"/>
      </w:pPr>
      <w:rPr>
        <w:rFonts w:ascii="Courier New" w:hAnsi="Courier New" w:cs="Courier New" w:hint="default"/>
      </w:rPr>
    </w:lvl>
    <w:lvl w:ilvl="8" w:tplc="08090005" w:tentative="1">
      <w:start w:val="1"/>
      <w:numFmt w:val="bullet"/>
      <w:lvlText w:val=""/>
      <w:lvlJc w:val="left"/>
      <w:pPr>
        <w:tabs>
          <w:tab w:val="num" w:pos="6546"/>
        </w:tabs>
        <w:ind w:left="6546" w:hanging="360"/>
      </w:pPr>
      <w:rPr>
        <w:rFonts w:ascii="Wingdings" w:hAnsi="Wingdings" w:hint="default"/>
      </w:rPr>
    </w:lvl>
  </w:abstractNum>
  <w:abstractNum w:abstractNumId="13" w15:restartNumberingAfterBreak="0">
    <w:nsid w:val="23C60B4E"/>
    <w:multiLevelType w:val="multilevel"/>
    <w:tmpl w:val="FF420998"/>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4563B57"/>
    <w:multiLevelType w:val="multilevel"/>
    <w:tmpl w:val="87C4CB34"/>
    <w:lvl w:ilvl="0">
      <w:numFmt w:val="bullet"/>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9067643"/>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16" w15:restartNumberingAfterBreak="0">
    <w:nsid w:val="2B4D6730"/>
    <w:multiLevelType w:val="multilevel"/>
    <w:tmpl w:val="BC629F22"/>
    <w:lvl w:ilvl="0">
      <w:start w:val="14"/>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2C130314"/>
    <w:multiLevelType w:val="hybridMultilevel"/>
    <w:tmpl w:val="1DDE0E70"/>
    <w:lvl w:ilvl="0" w:tplc="BE5A34EE">
      <w:start w:val="10"/>
      <w:numFmt w:val="bullet"/>
      <w:lvlText w:val="-"/>
      <w:lvlJc w:val="left"/>
      <w:pPr>
        <w:ind w:left="927" w:hanging="360"/>
      </w:pPr>
      <w:rPr>
        <w:rFonts w:ascii="Times New Roman" w:eastAsia="Calibri"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8" w15:restartNumberingAfterBreak="0">
    <w:nsid w:val="365215BE"/>
    <w:multiLevelType w:val="hybridMultilevel"/>
    <w:tmpl w:val="11487DB2"/>
    <w:lvl w:ilvl="0" w:tplc="6BF2903A">
      <w:start w:val="1"/>
      <w:numFmt w:val="upperLetter"/>
      <w:lvlText w:val="%1."/>
      <w:lvlJc w:val="left"/>
      <w:pPr>
        <w:tabs>
          <w:tab w:val="num" w:pos="720"/>
        </w:tabs>
        <w:ind w:left="567" w:hanging="567"/>
      </w:pPr>
      <w:rPr>
        <w:rFonts w:hint="default"/>
      </w:rPr>
    </w:lvl>
    <w:lvl w:ilvl="1" w:tplc="7242BC6A">
      <w:start w:val="1"/>
      <w:numFmt w:val="decimal"/>
      <w:lvlText w:val="%2."/>
      <w:lvlJc w:val="left"/>
      <w:pPr>
        <w:tabs>
          <w:tab w:val="num" w:pos="680"/>
        </w:tabs>
        <w:ind w:left="1134" w:hanging="567"/>
      </w:pPr>
      <w:rPr>
        <w:rFonts w:hint="default"/>
        <w:b/>
        <w:i/>
      </w:rPr>
    </w:lvl>
    <w:lvl w:ilvl="2" w:tplc="25BCE3B4">
      <w:start w:val="1"/>
      <w:numFmt w:val="decimal"/>
      <w:lvlText w:val="%3"/>
      <w:lvlJc w:val="left"/>
      <w:pPr>
        <w:tabs>
          <w:tab w:val="num" w:pos="2550"/>
        </w:tabs>
        <w:ind w:left="2550" w:hanging="57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40F52DC2"/>
    <w:multiLevelType w:val="multilevel"/>
    <w:tmpl w:val="F4D41070"/>
    <w:lvl w:ilvl="0">
      <w:start w:val="1"/>
      <w:numFmt w:val="decimal"/>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none"/>
      <w:lvlText w:val=""/>
      <w:lvlJc w:val="left"/>
      <w:pPr>
        <w:tabs>
          <w:tab w:val="num" w:pos="360"/>
        </w:tabs>
        <w:ind w:left="0" w:firstLine="0"/>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41534248"/>
    <w:multiLevelType w:val="hybridMultilevel"/>
    <w:tmpl w:val="FC3E878A"/>
    <w:lvl w:ilvl="0" w:tplc="E06E9EA2">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428D501F"/>
    <w:multiLevelType w:val="hybridMultilevel"/>
    <w:tmpl w:val="58181090"/>
    <w:lvl w:ilvl="0" w:tplc="08090001">
      <w:start w:val="1"/>
      <w:numFmt w:val="bullet"/>
      <w:lvlText w:val=""/>
      <w:lvlJc w:val="left"/>
      <w:pPr>
        <w:ind w:left="1287" w:hanging="360"/>
      </w:pPr>
      <w:rPr>
        <w:rFonts w:ascii="Symbol" w:hAnsi="Symbol" w:hint="default"/>
      </w:rPr>
    </w:lvl>
    <w:lvl w:ilvl="1" w:tplc="E0B29812">
      <w:start w:val="3"/>
      <w:numFmt w:val="bullet"/>
      <w:lvlText w:val="-"/>
      <w:lvlJc w:val="left"/>
      <w:pPr>
        <w:ind w:left="2007" w:hanging="360"/>
      </w:pPr>
      <w:rPr>
        <w:rFonts w:ascii="Times New Roman" w:eastAsia="Times New Roman" w:hAnsi="Times New Roman" w:cs="Times New Roman"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2" w15:restartNumberingAfterBreak="0">
    <w:nsid w:val="51C37440"/>
    <w:multiLevelType w:val="singleLevel"/>
    <w:tmpl w:val="497C868A"/>
    <w:lvl w:ilvl="0">
      <w:start w:val="1"/>
      <w:numFmt w:val="decimal"/>
      <w:lvlText w:val="(%1)"/>
      <w:lvlJc w:val="left"/>
      <w:pPr>
        <w:tabs>
          <w:tab w:val="num" w:pos="1980"/>
        </w:tabs>
        <w:ind w:left="1980" w:hanging="540"/>
      </w:pPr>
      <w:rPr>
        <w:rFonts w:hint="default"/>
      </w:rPr>
    </w:lvl>
  </w:abstractNum>
  <w:abstractNum w:abstractNumId="23" w15:restartNumberingAfterBreak="0">
    <w:nsid w:val="59F72AEF"/>
    <w:multiLevelType w:val="hybridMultilevel"/>
    <w:tmpl w:val="D4127724"/>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5F1F6DB2"/>
    <w:multiLevelType w:val="multilevel"/>
    <w:tmpl w:val="04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69216D6C"/>
    <w:multiLevelType w:val="multilevel"/>
    <w:tmpl w:val="F9A4CF84"/>
    <w:lvl w:ilvl="0">
      <w:start w:val="1"/>
      <w:numFmt w:val="decimal"/>
      <w:lvlText w:val="%1."/>
      <w:lvlJc w:val="left"/>
      <w:pPr>
        <w:tabs>
          <w:tab w:val="num" w:pos="567"/>
        </w:tabs>
        <w:ind w:left="567" w:hanging="567"/>
      </w:pPr>
      <w:rPr>
        <w:rFonts w:ascii="Times New Roman Bold" w:hAnsi="Times New Roman Bold" w:hint="default"/>
        <w:b/>
        <w:i w:val="0"/>
        <w:sz w:val="28"/>
        <w:szCs w:val="24"/>
      </w:rPr>
    </w:lvl>
    <w:lvl w:ilvl="1">
      <w:start w:val="1"/>
      <w:numFmt w:val="decimal"/>
      <w:lvlText w:val="%1.%2"/>
      <w:lvlJc w:val="left"/>
      <w:pPr>
        <w:tabs>
          <w:tab w:val="num" w:pos="567"/>
        </w:tabs>
        <w:ind w:left="567" w:hanging="567"/>
      </w:pPr>
      <w:rPr>
        <w:rFonts w:ascii="Times New Roman" w:hAnsi="Times New Roman" w:cs="Times New Roman" w:hint="default"/>
        <w:b w:val="0"/>
        <w:i w:val="0"/>
        <w:sz w:val="22"/>
        <w:szCs w:val="22"/>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Ttulo4"/>
      <w:lvlText w:val="%1.%2.%3.%4"/>
      <w:lvlJc w:val="left"/>
      <w:pPr>
        <w:tabs>
          <w:tab w:val="num" w:pos="864"/>
        </w:tabs>
        <w:ind w:left="864" w:hanging="864"/>
      </w:pPr>
      <w:rPr>
        <w:rFonts w:hint="default"/>
      </w:rPr>
    </w:lvl>
    <w:lvl w:ilvl="4">
      <w:start w:val="1"/>
      <w:numFmt w:val="decimal"/>
      <w:pStyle w:val="Ttulo5"/>
      <w:lvlText w:val="%1.%2.%3.%4.%5"/>
      <w:lvlJc w:val="left"/>
      <w:pPr>
        <w:tabs>
          <w:tab w:val="num" w:pos="1008"/>
        </w:tabs>
        <w:ind w:left="1008" w:hanging="1008"/>
      </w:pPr>
      <w:rPr>
        <w:rFonts w:hint="default"/>
      </w:rPr>
    </w:lvl>
    <w:lvl w:ilvl="5">
      <w:start w:val="1"/>
      <w:numFmt w:val="none"/>
      <w:pStyle w:val="Ttulo6"/>
      <w:lvlText w:val=""/>
      <w:lvlJc w:val="left"/>
      <w:pPr>
        <w:tabs>
          <w:tab w:val="num" w:pos="360"/>
        </w:tabs>
        <w:ind w:left="0" w:firstLine="0"/>
      </w:pPr>
      <w:rPr>
        <w:rFonts w:hint="default"/>
      </w:rPr>
    </w:lvl>
    <w:lvl w:ilvl="6">
      <w:start w:val="1"/>
      <w:numFmt w:val="decimal"/>
      <w:pStyle w:val="Ttulo7"/>
      <w:lvlText w:val="%1.%2.%3.%4.%5.%6.%7"/>
      <w:lvlJc w:val="left"/>
      <w:pPr>
        <w:tabs>
          <w:tab w:val="num" w:pos="1296"/>
        </w:tabs>
        <w:ind w:left="1296" w:hanging="1296"/>
      </w:pPr>
      <w:rPr>
        <w:rFonts w:hint="default"/>
      </w:rPr>
    </w:lvl>
    <w:lvl w:ilvl="7">
      <w:start w:val="1"/>
      <w:numFmt w:val="decimal"/>
      <w:pStyle w:val="Ttulo8"/>
      <w:lvlText w:val="%1.%2.%3.%4.%5.%6.%7.%8"/>
      <w:lvlJc w:val="left"/>
      <w:pPr>
        <w:tabs>
          <w:tab w:val="num" w:pos="1440"/>
        </w:tabs>
        <w:ind w:left="1440" w:hanging="1440"/>
      </w:pPr>
      <w:rPr>
        <w:rFonts w:hint="default"/>
      </w:rPr>
    </w:lvl>
    <w:lvl w:ilvl="8">
      <w:start w:val="1"/>
      <w:numFmt w:val="decimal"/>
      <w:pStyle w:val="Ttulo9"/>
      <w:lvlText w:val="%1.%2.%3.%4.%5.%6.%7.%8.%9"/>
      <w:lvlJc w:val="left"/>
      <w:pPr>
        <w:tabs>
          <w:tab w:val="num" w:pos="1584"/>
        </w:tabs>
        <w:ind w:left="1584" w:hanging="1584"/>
      </w:pPr>
      <w:rPr>
        <w:rFonts w:hint="default"/>
      </w:rPr>
    </w:lvl>
  </w:abstractNum>
  <w:abstractNum w:abstractNumId="27"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75174740"/>
    <w:multiLevelType w:val="multilevel"/>
    <w:tmpl w:val="ED706938"/>
    <w:lvl w:ilvl="0">
      <w:start w:val="4"/>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C581ACA"/>
    <w:multiLevelType w:val="hybridMultilevel"/>
    <w:tmpl w:val="B964B652"/>
    <w:lvl w:ilvl="0" w:tplc="080C0001">
      <w:start w:val="1"/>
      <w:numFmt w:val="bullet"/>
      <w:lvlText w:val=""/>
      <w:lvlJc w:val="left"/>
      <w:pPr>
        <w:ind w:left="1287" w:hanging="360"/>
      </w:pPr>
      <w:rPr>
        <w:rFonts w:ascii="Symbol" w:hAnsi="Symbol" w:hint="default"/>
      </w:rPr>
    </w:lvl>
    <w:lvl w:ilvl="1" w:tplc="080C0003" w:tentative="1">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30" w15:restartNumberingAfterBreak="0">
    <w:nsid w:val="7F1F2A6A"/>
    <w:multiLevelType w:val="hybridMultilevel"/>
    <w:tmpl w:val="BEFA24C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26"/>
  </w:num>
  <w:num w:numId="3">
    <w:abstractNumId w:val="13"/>
  </w:num>
  <w:num w:numId="4">
    <w:abstractNumId w:val="16"/>
  </w:num>
  <w:num w:numId="5">
    <w:abstractNumId w:val="28"/>
  </w:num>
  <w:num w:numId="6">
    <w:abstractNumId w:val="12"/>
  </w:num>
  <w:num w:numId="7">
    <w:abstractNumId w:val="8"/>
  </w:num>
  <w:num w:numId="8">
    <w:abstractNumId w:val="3"/>
  </w:num>
  <w:num w:numId="9">
    <w:abstractNumId w:val="18"/>
  </w:num>
  <w:num w:numId="10">
    <w:abstractNumId w:val="7"/>
  </w:num>
  <w:num w:numId="11">
    <w:abstractNumId w:val="25"/>
  </w:num>
  <w:num w:numId="12">
    <w:abstractNumId w:val="15"/>
  </w:num>
  <w:num w:numId="13">
    <w:abstractNumId w:val="10"/>
  </w:num>
  <w:num w:numId="14">
    <w:abstractNumId w:val="23"/>
  </w:num>
  <w:num w:numId="15">
    <w:abstractNumId w:val="24"/>
  </w:num>
  <w:num w:numId="16">
    <w:abstractNumId w:val="11"/>
  </w:num>
  <w:num w:numId="17">
    <w:abstractNumId w:val="19"/>
  </w:num>
  <w:num w:numId="18">
    <w:abstractNumId w:val="14"/>
  </w:num>
  <w:num w:numId="19">
    <w:abstractNumId w:val="14"/>
  </w:num>
  <w:num w:numId="20">
    <w:abstractNumId w:val="30"/>
  </w:num>
  <w:num w:numId="21">
    <w:abstractNumId w:val="21"/>
  </w:num>
  <w:num w:numId="22">
    <w:abstractNumId w:val="20"/>
  </w:num>
  <w:num w:numId="23">
    <w:abstractNumId w:val="5"/>
  </w:num>
  <w:num w:numId="24">
    <w:abstractNumId w:val="14"/>
  </w:num>
  <w:num w:numId="25">
    <w:abstractNumId w:val="14"/>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7">
    <w:abstractNumId w:val="1"/>
  </w:num>
  <w:num w:numId="28">
    <w:abstractNumId w:val="6"/>
  </w:num>
  <w:num w:numId="29">
    <w:abstractNumId w:val="29"/>
  </w:num>
  <w:num w:numId="30">
    <w:abstractNumId w:val="26"/>
    <w:lvlOverride w:ilvl="0">
      <w:startOverride w:val="20"/>
    </w:lvlOverride>
    <w:lvlOverride w:ilvl="1">
      <w:startOverride w:val="7"/>
    </w:lvlOverride>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17"/>
  </w:num>
  <w:num w:numId="34">
    <w:abstractNumId w:val="4"/>
  </w:num>
  <w:num w:numId="35">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activeWritingStyle w:appName="MSWord" w:lang="fr-BE" w:vendorID="64" w:dllVersion="131078" w:nlCheck="1" w:checkStyle="0"/>
  <w:activeWritingStyle w:appName="MSWord" w:lang="en-GB" w:vendorID="64" w:dllVersion="131078" w:nlCheck="1" w:checkStyle="1"/>
  <w:activeWritingStyle w:appName="MSWord" w:lang="en-IE" w:vendorID="64" w:dllVersion="131078" w:nlCheck="1" w:checkStyle="1"/>
  <w:activeWritingStyle w:appName="MSWord" w:lang="en-US" w:vendorID="64" w:dllVersion="131078" w:nlCheck="1" w:checkStyle="1"/>
  <w:activeWritingStyle w:appName="MSWord" w:lang="es-E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 w:name="Stamp" w:val="\\dossiers.dgt.cec.eu.int\dossiers\DEVCO\DEVCO-2011-00112\DEVCO-2011-00112-01-04-EN-REV-00.DOC"/>
  </w:docVars>
  <w:rsids>
    <w:rsidRoot w:val="0073450F"/>
    <w:rsid w:val="000011D7"/>
    <w:rsid w:val="000012FD"/>
    <w:rsid w:val="000021E1"/>
    <w:rsid w:val="0000259F"/>
    <w:rsid w:val="00005FE9"/>
    <w:rsid w:val="00007151"/>
    <w:rsid w:val="000076C2"/>
    <w:rsid w:val="00007DCD"/>
    <w:rsid w:val="00010561"/>
    <w:rsid w:val="00010EFB"/>
    <w:rsid w:val="000167B8"/>
    <w:rsid w:val="0002493B"/>
    <w:rsid w:val="00026133"/>
    <w:rsid w:val="00027333"/>
    <w:rsid w:val="00030464"/>
    <w:rsid w:val="00030909"/>
    <w:rsid w:val="00032EDE"/>
    <w:rsid w:val="00036E25"/>
    <w:rsid w:val="00040153"/>
    <w:rsid w:val="00040CF1"/>
    <w:rsid w:val="00041516"/>
    <w:rsid w:val="000417E2"/>
    <w:rsid w:val="00043159"/>
    <w:rsid w:val="0004517D"/>
    <w:rsid w:val="00050C50"/>
    <w:rsid w:val="00051AE7"/>
    <w:rsid w:val="00051DD7"/>
    <w:rsid w:val="0005385E"/>
    <w:rsid w:val="00053AE8"/>
    <w:rsid w:val="0005446F"/>
    <w:rsid w:val="00056EAA"/>
    <w:rsid w:val="000574F3"/>
    <w:rsid w:val="00057556"/>
    <w:rsid w:val="000603D9"/>
    <w:rsid w:val="00062BA9"/>
    <w:rsid w:val="000634D6"/>
    <w:rsid w:val="00063C56"/>
    <w:rsid w:val="00063C70"/>
    <w:rsid w:val="00064BDF"/>
    <w:rsid w:val="000665DF"/>
    <w:rsid w:val="00066CBA"/>
    <w:rsid w:val="00066FE4"/>
    <w:rsid w:val="000714BB"/>
    <w:rsid w:val="0007671B"/>
    <w:rsid w:val="0008592A"/>
    <w:rsid w:val="00085CA1"/>
    <w:rsid w:val="00087F35"/>
    <w:rsid w:val="000904C2"/>
    <w:rsid w:val="00090987"/>
    <w:rsid w:val="0009286D"/>
    <w:rsid w:val="000947DF"/>
    <w:rsid w:val="000958D8"/>
    <w:rsid w:val="00096F74"/>
    <w:rsid w:val="00097737"/>
    <w:rsid w:val="000A1A71"/>
    <w:rsid w:val="000A3B36"/>
    <w:rsid w:val="000A5F76"/>
    <w:rsid w:val="000A7A2C"/>
    <w:rsid w:val="000B0983"/>
    <w:rsid w:val="000B1236"/>
    <w:rsid w:val="000B30B5"/>
    <w:rsid w:val="000B79F6"/>
    <w:rsid w:val="000C1D59"/>
    <w:rsid w:val="000C32D7"/>
    <w:rsid w:val="000C4AE6"/>
    <w:rsid w:val="000C6C88"/>
    <w:rsid w:val="000C6E69"/>
    <w:rsid w:val="000D0118"/>
    <w:rsid w:val="000D1B17"/>
    <w:rsid w:val="000D1CDA"/>
    <w:rsid w:val="000D24E3"/>
    <w:rsid w:val="000D2B44"/>
    <w:rsid w:val="000D40DB"/>
    <w:rsid w:val="000D4391"/>
    <w:rsid w:val="000D4A00"/>
    <w:rsid w:val="000D4C36"/>
    <w:rsid w:val="000D5F1B"/>
    <w:rsid w:val="000D66C0"/>
    <w:rsid w:val="000E0AE8"/>
    <w:rsid w:val="000E0DB4"/>
    <w:rsid w:val="000E291F"/>
    <w:rsid w:val="000E7B75"/>
    <w:rsid w:val="000F124B"/>
    <w:rsid w:val="000F1339"/>
    <w:rsid w:val="000F1EA7"/>
    <w:rsid w:val="000F5F5F"/>
    <w:rsid w:val="000F697E"/>
    <w:rsid w:val="00100085"/>
    <w:rsid w:val="00103348"/>
    <w:rsid w:val="00103913"/>
    <w:rsid w:val="00104B37"/>
    <w:rsid w:val="0010518E"/>
    <w:rsid w:val="00111B28"/>
    <w:rsid w:val="00111CFF"/>
    <w:rsid w:val="00112739"/>
    <w:rsid w:val="00115916"/>
    <w:rsid w:val="00115A3D"/>
    <w:rsid w:val="001160E5"/>
    <w:rsid w:val="00116A45"/>
    <w:rsid w:val="0012084F"/>
    <w:rsid w:val="00121DE4"/>
    <w:rsid w:val="00123EDC"/>
    <w:rsid w:val="00124409"/>
    <w:rsid w:val="001252C0"/>
    <w:rsid w:val="0012677D"/>
    <w:rsid w:val="0013002E"/>
    <w:rsid w:val="001302A7"/>
    <w:rsid w:val="001309AB"/>
    <w:rsid w:val="00130EF1"/>
    <w:rsid w:val="001320DF"/>
    <w:rsid w:val="00134586"/>
    <w:rsid w:val="00134A79"/>
    <w:rsid w:val="001407B5"/>
    <w:rsid w:val="0014248E"/>
    <w:rsid w:val="0014659F"/>
    <w:rsid w:val="00150767"/>
    <w:rsid w:val="001515E4"/>
    <w:rsid w:val="001536B3"/>
    <w:rsid w:val="00156114"/>
    <w:rsid w:val="00157C6D"/>
    <w:rsid w:val="00157DEE"/>
    <w:rsid w:val="00162097"/>
    <w:rsid w:val="00164235"/>
    <w:rsid w:val="001645AC"/>
    <w:rsid w:val="00164F15"/>
    <w:rsid w:val="00170AA7"/>
    <w:rsid w:val="001719EB"/>
    <w:rsid w:val="00171C45"/>
    <w:rsid w:val="00174382"/>
    <w:rsid w:val="001744F6"/>
    <w:rsid w:val="001766D9"/>
    <w:rsid w:val="00177A3D"/>
    <w:rsid w:val="00181980"/>
    <w:rsid w:val="00182EF4"/>
    <w:rsid w:val="00183955"/>
    <w:rsid w:val="00184D00"/>
    <w:rsid w:val="00185973"/>
    <w:rsid w:val="00185C2F"/>
    <w:rsid w:val="00187253"/>
    <w:rsid w:val="00192430"/>
    <w:rsid w:val="001932AF"/>
    <w:rsid w:val="001937B4"/>
    <w:rsid w:val="001976A6"/>
    <w:rsid w:val="001A1207"/>
    <w:rsid w:val="001A2BC4"/>
    <w:rsid w:val="001A64D9"/>
    <w:rsid w:val="001A6C79"/>
    <w:rsid w:val="001B29E8"/>
    <w:rsid w:val="001B38DA"/>
    <w:rsid w:val="001B5454"/>
    <w:rsid w:val="001B660A"/>
    <w:rsid w:val="001D0532"/>
    <w:rsid w:val="001D20C7"/>
    <w:rsid w:val="001D339B"/>
    <w:rsid w:val="001D4292"/>
    <w:rsid w:val="001D51F8"/>
    <w:rsid w:val="001E377F"/>
    <w:rsid w:val="001E4648"/>
    <w:rsid w:val="001F0DE5"/>
    <w:rsid w:val="001F1580"/>
    <w:rsid w:val="001F410B"/>
    <w:rsid w:val="001F5421"/>
    <w:rsid w:val="001F7658"/>
    <w:rsid w:val="002012E1"/>
    <w:rsid w:val="00201CF7"/>
    <w:rsid w:val="00203E3D"/>
    <w:rsid w:val="00205DC5"/>
    <w:rsid w:val="0020615A"/>
    <w:rsid w:val="00211229"/>
    <w:rsid w:val="00211E0F"/>
    <w:rsid w:val="002156A5"/>
    <w:rsid w:val="0021645D"/>
    <w:rsid w:val="00216F0D"/>
    <w:rsid w:val="00217E61"/>
    <w:rsid w:val="002209F1"/>
    <w:rsid w:val="00220BF7"/>
    <w:rsid w:val="00224C44"/>
    <w:rsid w:val="00225CDC"/>
    <w:rsid w:val="00225F75"/>
    <w:rsid w:val="00227A8C"/>
    <w:rsid w:val="00227ABB"/>
    <w:rsid w:val="00235BB9"/>
    <w:rsid w:val="00237F9E"/>
    <w:rsid w:val="002409CB"/>
    <w:rsid w:val="002409FE"/>
    <w:rsid w:val="002426D3"/>
    <w:rsid w:val="002442B7"/>
    <w:rsid w:val="002455C7"/>
    <w:rsid w:val="002456F1"/>
    <w:rsid w:val="002463B3"/>
    <w:rsid w:val="0025137A"/>
    <w:rsid w:val="002514D1"/>
    <w:rsid w:val="0025177E"/>
    <w:rsid w:val="00251EA1"/>
    <w:rsid w:val="00252123"/>
    <w:rsid w:val="00253324"/>
    <w:rsid w:val="00255693"/>
    <w:rsid w:val="002560BB"/>
    <w:rsid w:val="002561C8"/>
    <w:rsid w:val="00257CB1"/>
    <w:rsid w:val="002631C5"/>
    <w:rsid w:val="00263624"/>
    <w:rsid w:val="00264ACD"/>
    <w:rsid w:val="0026542C"/>
    <w:rsid w:val="00266552"/>
    <w:rsid w:val="00266C6F"/>
    <w:rsid w:val="00271700"/>
    <w:rsid w:val="00272A7B"/>
    <w:rsid w:val="00272D32"/>
    <w:rsid w:val="0028364A"/>
    <w:rsid w:val="00290439"/>
    <w:rsid w:val="00290561"/>
    <w:rsid w:val="00294190"/>
    <w:rsid w:val="002A0041"/>
    <w:rsid w:val="002A1860"/>
    <w:rsid w:val="002A2D36"/>
    <w:rsid w:val="002A6367"/>
    <w:rsid w:val="002B1865"/>
    <w:rsid w:val="002B6401"/>
    <w:rsid w:val="002B7402"/>
    <w:rsid w:val="002B7CBA"/>
    <w:rsid w:val="002C1EAD"/>
    <w:rsid w:val="002C649A"/>
    <w:rsid w:val="002C7223"/>
    <w:rsid w:val="002D0CE1"/>
    <w:rsid w:val="002D1FCC"/>
    <w:rsid w:val="002D2FC0"/>
    <w:rsid w:val="002D6EED"/>
    <w:rsid w:val="002E105B"/>
    <w:rsid w:val="002E1FB2"/>
    <w:rsid w:val="002E4C1B"/>
    <w:rsid w:val="002F1222"/>
    <w:rsid w:val="002F48D0"/>
    <w:rsid w:val="002F530E"/>
    <w:rsid w:val="002F559C"/>
    <w:rsid w:val="002F6309"/>
    <w:rsid w:val="00301220"/>
    <w:rsid w:val="003051AA"/>
    <w:rsid w:val="003061F8"/>
    <w:rsid w:val="00306DE6"/>
    <w:rsid w:val="00314EE8"/>
    <w:rsid w:val="003179BB"/>
    <w:rsid w:val="003205A4"/>
    <w:rsid w:val="00322263"/>
    <w:rsid w:val="00324A27"/>
    <w:rsid w:val="003308C6"/>
    <w:rsid w:val="003320FF"/>
    <w:rsid w:val="0033212F"/>
    <w:rsid w:val="00335E06"/>
    <w:rsid w:val="003409B8"/>
    <w:rsid w:val="003411A3"/>
    <w:rsid w:val="00343102"/>
    <w:rsid w:val="0034393A"/>
    <w:rsid w:val="00347B7E"/>
    <w:rsid w:val="003502E9"/>
    <w:rsid w:val="0035089B"/>
    <w:rsid w:val="00351351"/>
    <w:rsid w:val="003551F4"/>
    <w:rsid w:val="003568F8"/>
    <w:rsid w:val="00360344"/>
    <w:rsid w:val="003613D2"/>
    <w:rsid w:val="00364FFD"/>
    <w:rsid w:val="00371851"/>
    <w:rsid w:val="00371F01"/>
    <w:rsid w:val="003721AD"/>
    <w:rsid w:val="00372540"/>
    <w:rsid w:val="00376656"/>
    <w:rsid w:val="00376A55"/>
    <w:rsid w:val="00384ABB"/>
    <w:rsid w:val="00384BAB"/>
    <w:rsid w:val="00385FFC"/>
    <w:rsid w:val="00386409"/>
    <w:rsid w:val="00387C56"/>
    <w:rsid w:val="003902B3"/>
    <w:rsid w:val="00391D90"/>
    <w:rsid w:val="003925E9"/>
    <w:rsid w:val="00392A7E"/>
    <w:rsid w:val="00394E9F"/>
    <w:rsid w:val="003A02A1"/>
    <w:rsid w:val="003A474A"/>
    <w:rsid w:val="003B1AB7"/>
    <w:rsid w:val="003B3C9C"/>
    <w:rsid w:val="003B48B4"/>
    <w:rsid w:val="003C0747"/>
    <w:rsid w:val="003C6C9C"/>
    <w:rsid w:val="003C7266"/>
    <w:rsid w:val="003D2078"/>
    <w:rsid w:val="003D3CAA"/>
    <w:rsid w:val="003D7011"/>
    <w:rsid w:val="003D7611"/>
    <w:rsid w:val="003E4DCA"/>
    <w:rsid w:val="003E7C71"/>
    <w:rsid w:val="003F0713"/>
    <w:rsid w:val="003F2375"/>
    <w:rsid w:val="003F2FA4"/>
    <w:rsid w:val="003F3B51"/>
    <w:rsid w:val="003F3D45"/>
    <w:rsid w:val="003F3E2B"/>
    <w:rsid w:val="003F4953"/>
    <w:rsid w:val="003F6D98"/>
    <w:rsid w:val="003F7AF5"/>
    <w:rsid w:val="003F7DB7"/>
    <w:rsid w:val="0040221E"/>
    <w:rsid w:val="00403B25"/>
    <w:rsid w:val="0040595A"/>
    <w:rsid w:val="00405BF8"/>
    <w:rsid w:val="004072FA"/>
    <w:rsid w:val="004105A1"/>
    <w:rsid w:val="00420666"/>
    <w:rsid w:val="00421363"/>
    <w:rsid w:val="0042695A"/>
    <w:rsid w:val="004272A7"/>
    <w:rsid w:val="004300D4"/>
    <w:rsid w:val="004316F0"/>
    <w:rsid w:val="004365AD"/>
    <w:rsid w:val="00442FF2"/>
    <w:rsid w:val="004434F8"/>
    <w:rsid w:val="0045310F"/>
    <w:rsid w:val="00453BD6"/>
    <w:rsid w:val="004554CB"/>
    <w:rsid w:val="00456FAE"/>
    <w:rsid w:val="004607CD"/>
    <w:rsid w:val="0046122C"/>
    <w:rsid w:val="00461AB4"/>
    <w:rsid w:val="00463F73"/>
    <w:rsid w:val="00471B36"/>
    <w:rsid w:val="00476547"/>
    <w:rsid w:val="00476D3D"/>
    <w:rsid w:val="004775D2"/>
    <w:rsid w:val="0047783A"/>
    <w:rsid w:val="00483E26"/>
    <w:rsid w:val="0048742A"/>
    <w:rsid w:val="00487730"/>
    <w:rsid w:val="0049088E"/>
    <w:rsid w:val="00491611"/>
    <w:rsid w:val="00491FD2"/>
    <w:rsid w:val="004925DF"/>
    <w:rsid w:val="004936A8"/>
    <w:rsid w:val="00494168"/>
    <w:rsid w:val="004A0140"/>
    <w:rsid w:val="004A101E"/>
    <w:rsid w:val="004A5CA1"/>
    <w:rsid w:val="004A7ED9"/>
    <w:rsid w:val="004B21D7"/>
    <w:rsid w:val="004B5C33"/>
    <w:rsid w:val="004B7893"/>
    <w:rsid w:val="004C265E"/>
    <w:rsid w:val="004C35B5"/>
    <w:rsid w:val="004D20F9"/>
    <w:rsid w:val="004D2FD8"/>
    <w:rsid w:val="004D66B5"/>
    <w:rsid w:val="004D6D1E"/>
    <w:rsid w:val="004D72C2"/>
    <w:rsid w:val="004E16BB"/>
    <w:rsid w:val="004E68CF"/>
    <w:rsid w:val="004F1264"/>
    <w:rsid w:val="004F2D4B"/>
    <w:rsid w:val="004F5C57"/>
    <w:rsid w:val="004F6EE9"/>
    <w:rsid w:val="005005D7"/>
    <w:rsid w:val="00501FF0"/>
    <w:rsid w:val="00502B15"/>
    <w:rsid w:val="00503427"/>
    <w:rsid w:val="005071E3"/>
    <w:rsid w:val="00507CA1"/>
    <w:rsid w:val="00515616"/>
    <w:rsid w:val="00516552"/>
    <w:rsid w:val="00531CAA"/>
    <w:rsid w:val="00533C8D"/>
    <w:rsid w:val="00535826"/>
    <w:rsid w:val="00536B4A"/>
    <w:rsid w:val="00537189"/>
    <w:rsid w:val="00542E0F"/>
    <w:rsid w:val="00545957"/>
    <w:rsid w:val="00552278"/>
    <w:rsid w:val="00555BFC"/>
    <w:rsid w:val="00556923"/>
    <w:rsid w:val="005634B2"/>
    <w:rsid w:val="00567A76"/>
    <w:rsid w:val="00570282"/>
    <w:rsid w:val="00575CB0"/>
    <w:rsid w:val="00580F0C"/>
    <w:rsid w:val="00582894"/>
    <w:rsid w:val="00586D6C"/>
    <w:rsid w:val="00587BC9"/>
    <w:rsid w:val="005912C1"/>
    <w:rsid w:val="00591F23"/>
    <w:rsid w:val="00593550"/>
    <w:rsid w:val="0059371A"/>
    <w:rsid w:val="005B2018"/>
    <w:rsid w:val="005B2646"/>
    <w:rsid w:val="005B35D7"/>
    <w:rsid w:val="005B75F7"/>
    <w:rsid w:val="005C0EA1"/>
    <w:rsid w:val="005C1201"/>
    <w:rsid w:val="005C3558"/>
    <w:rsid w:val="005D72F7"/>
    <w:rsid w:val="005E09B0"/>
    <w:rsid w:val="005E0B76"/>
    <w:rsid w:val="005E2EE8"/>
    <w:rsid w:val="005F1EC7"/>
    <w:rsid w:val="005F1F05"/>
    <w:rsid w:val="005F3C51"/>
    <w:rsid w:val="005F3E6B"/>
    <w:rsid w:val="005F62D0"/>
    <w:rsid w:val="005F7A76"/>
    <w:rsid w:val="005F7DC0"/>
    <w:rsid w:val="00603B4B"/>
    <w:rsid w:val="00603E14"/>
    <w:rsid w:val="00613E4C"/>
    <w:rsid w:val="00614AE9"/>
    <w:rsid w:val="00614DF8"/>
    <w:rsid w:val="006164B8"/>
    <w:rsid w:val="00617DA1"/>
    <w:rsid w:val="00621C05"/>
    <w:rsid w:val="0062259D"/>
    <w:rsid w:val="00623016"/>
    <w:rsid w:val="00625741"/>
    <w:rsid w:val="006311FE"/>
    <w:rsid w:val="00633829"/>
    <w:rsid w:val="0063394C"/>
    <w:rsid w:val="00633D3A"/>
    <w:rsid w:val="00633E6D"/>
    <w:rsid w:val="00636E8F"/>
    <w:rsid w:val="0063744A"/>
    <w:rsid w:val="00637D16"/>
    <w:rsid w:val="006408AC"/>
    <w:rsid w:val="00640D24"/>
    <w:rsid w:val="00640E38"/>
    <w:rsid w:val="00644483"/>
    <w:rsid w:val="00646859"/>
    <w:rsid w:val="0065117A"/>
    <w:rsid w:val="00651BD8"/>
    <w:rsid w:val="00652618"/>
    <w:rsid w:val="006532E3"/>
    <w:rsid w:val="0065398D"/>
    <w:rsid w:val="00654F04"/>
    <w:rsid w:val="0066145D"/>
    <w:rsid w:val="00661B3C"/>
    <w:rsid w:val="0066519D"/>
    <w:rsid w:val="00666793"/>
    <w:rsid w:val="00670E5E"/>
    <w:rsid w:val="00675D72"/>
    <w:rsid w:val="00677500"/>
    <w:rsid w:val="0068247E"/>
    <w:rsid w:val="00682804"/>
    <w:rsid w:val="00684438"/>
    <w:rsid w:val="0069153C"/>
    <w:rsid w:val="00691664"/>
    <w:rsid w:val="006917B2"/>
    <w:rsid w:val="00692095"/>
    <w:rsid w:val="00696FDD"/>
    <w:rsid w:val="006A2CF1"/>
    <w:rsid w:val="006A5F84"/>
    <w:rsid w:val="006B0532"/>
    <w:rsid w:val="006B0AB1"/>
    <w:rsid w:val="006B3EAE"/>
    <w:rsid w:val="006B5B42"/>
    <w:rsid w:val="006C2F05"/>
    <w:rsid w:val="006C513D"/>
    <w:rsid w:val="006D3BA1"/>
    <w:rsid w:val="006D4CEC"/>
    <w:rsid w:val="006E1DB1"/>
    <w:rsid w:val="006E226A"/>
    <w:rsid w:val="006E4A76"/>
    <w:rsid w:val="006E56FD"/>
    <w:rsid w:val="006E6880"/>
    <w:rsid w:val="006E6DD5"/>
    <w:rsid w:val="006F210E"/>
    <w:rsid w:val="006F320C"/>
    <w:rsid w:val="006F3B41"/>
    <w:rsid w:val="006F43E5"/>
    <w:rsid w:val="006F766A"/>
    <w:rsid w:val="006F7CB5"/>
    <w:rsid w:val="00702131"/>
    <w:rsid w:val="00703425"/>
    <w:rsid w:val="00703D69"/>
    <w:rsid w:val="00710379"/>
    <w:rsid w:val="00711C72"/>
    <w:rsid w:val="0071243A"/>
    <w:rsid w:val="00715B35"/>
    <w:rsid w:val="00723C11"/>
    <w:rsid w:val="00724D0C"/>
    <w:rsid w:val="007253FF"/>
    <w:rsid w:val="007307A9"/>
    <w:rsid w:val="00733488"/>
    <w:rsid w:val="0073450F"/>
    <w:rsid w:val="00740F25"/>
    <w:rsid w:val="007423EF"/>
    <w:rsid w:val="00742505"/>
    <w:rsid w:val="0075003E"/>
    <w:rsid w:val="0075170F"/>
    <w:rsid w:val="007531D2"/>
    <w:rsid w:val="0075384B"/>
    <w:rsid w:val="00754D2B"/>
    <w:rsid w:val="007563BB"/>
    <w:rsid w:val="007600CA"/>
    <w:rsid w:val="00760195"/>
    <w:rsid w:val="00760809"/>
    <w:rsid w:val="007625F7"/>
    <w:rsid w:val="007629E1"/>
    <w:rsid w:val="00763B1C"/>
    <w:rsid w:val="007666CD"/>
    <w:rsid w:val="0077201B"/>
    <w:rsid w:val="00773FA6"/>
    <w:rsid w:val="00775749"/>
    <w:rsid w:val="00776BF7"/>
    <w:rsid w:val="00777E99"/>
    <w:rsid w:val="00785050"/>
    <w:rsid w:val="00787CA0"/>
    <w:rsid w:val="00792A1B"/>
    <w:rsid w:val="007939C3"/>
    <w:rsid w:val="0079405A"/>
    <w:rsid w:val="00795416"/>
    <w:rsid w:val="007A0045"/>
    <w:rsid w:val="007A00DE"/>
    <w:rsid w:val="007A0144"/>
    <w:rsid w:val="007A01BB"/>
    <w:rsid w:val="007A0C47"/>
    <w:rsid w:val="007A6A7D"/>
    <w:rsid w:val="007B15A3"/>
    <w:rsid w:val="007B65DB"/>
    <w:rsid w:val="007C0BDD"/>
    <w:rsid w:val="007C1656"/>
    <w:rsid w:val="007C6835"/>
    <w:rsid w:val="007C75E0"/>
    <w:rsid w:val="007D02BE"/>
    <w:rsid w:val="007D5FA2"/>
    <w:rsid w:val="007E0CD5"/>
    <w:rsid w:val="007E122E"/>
    <w:rsid w:val="007E3D5F"/>
    <w:rsid w:val="007E597D"/>
    <w:rsid w:val="007E64C1"/>
    <w:rsid w:val="007F634B"/>
    <w:rsid w:val="007F661B"/>
    <w:rsid w:val="007F6802"/>
    <w:rsid w:val="00803383"/>
    <w:rsid w:val="00806CE0"/>
    <w:rsid w:val="00811ACD"/>
    <w:rsid w:val="00811F58"/>
    <w:rsid w:val="0081263E"/>
    <w:rsid w:val="0081418B"/>
    <w:rsid w:val="00814C3A"/>
    <w:rsid w:val="00815C27"/>
    <w:rsid w:val="008163FF"/>
    <w:rsid w:val="008227A5"/>
    <w:rsid w:val="00822E7E"/>
    <w:rsid w:val="008272ED"/>
    <w:rsid w:val="00830ACF"/>
    <w:rsid w:val="00845115"/>
    <w:rsid w:val="00853F9D"/>
    <w:rsid w:val="008559BE"/>
    <w:rsid w:val="0085667F"/>
    <w:rsid w:val="008617F3"/>
    <w:rsid w:val="0086414D"/>
    <w:rsid w:val="008670ED"/>
    <w:rsid w:val="0086759F"/>
    <w:rsid w:val="00870FD6"/>
    <w:rsid w:val="008718AA"/>
    <w:rsid w:val="008720D6"/>
    <w:rsid w:val="00872830"/>
    <w:rsid w:val="008808CB"/>
    <w:rsid w:val="008847D1"/>
    <w:rsid w:val="00885882"/>
    <w:rsid w:val="008859E6"/>
    <w:rsid w:val="00891D12"/>
    <w:rsid w:val="00892CE9"/>
    <w:rsid w:val="008934F5"/>
    <w:rsid w:val="00893EDA"/>
    <w:rsid w:val="008A048D"/>
    <w:rsid w:val="008A2256"/>
    <w:rsid w:val="008A39B7"/>
    <w:rsid w:val="008B2A9C"/>
    <w:rsid w:val="008C14A7"/>
    <w:rsid w:val="008C284B"/>
    <w:rsid w:val="008C4E79"/>
    <w:rsid w:val="008C5A40"/>
    <w:rsid w:val="008C5DAA"/>
    <w:rsid w:val="008C787A"/>
    <w:rsid w:val="008E40E2"/>
    <w:rsid w:val="008E62A3"/>
    <w:rsid w:val="008E6D20"/>
    <w:rsid w:val="008E7470"/>
    <w:rsid w:val="008E7587"/>
    <w:rsid w:val="008F2E42"/>
    <w:rsid w:val="008F3866"/>
    <w:rsid w:val="008F3B55"/>
    <w:rsid w:val="008F3D27"/>
    <w:rsid w:val="009018A4"/>
    <w:rsid w:val="009030B0"/>
    <w:rsid w:val="009143FD"/>
    <w:rsid w:val="00917D02"/>
    <w:rsid w:val="00920A51"/>
    <w:rsid w:val="00920DBC"/>
    <w:rsid w:val="00922542"/>
    <w:rsid w:val="00924C60"/>
    <w:rsid w:val="009251E3"/>
    <w:rsid w:val="0093582A"/>
    <w:rsid w:val="009423FB"/>
    <w:rsid w:val="0094670B"/>
    <w:rsid w:val="00947FC3"/>
    <w:rsid w:val="00950813"/>
    <w:rsid w:val="009514EC"/>
    <w:rsid w:val="00961615"/>
    <w:rsid w:val="00980A42"/>
    <w:rsid w:val="00985BEF"/>
    <w:rsid w:val="00986D62"/>
    <w:rsid w:val="00990FF8"/>
    <w:rsid w:val="009956B4"/>
    <w:rsid w:val="00995B75"/>
    <w:rsid w:val="009976B3"/>
    <w:rsid w:val="009A3792"/>
    <w:rsid w:val="009A3A53"/>
    <w:rsid w:val="009A538A"/>
    <w:rsid w:val="009A6F00"/>
    <w:rsid w:val="009B0CF1"/>
    <w:rsid w:val="009B1FBF"/>
    <w:rsid w:val="009B2F1F"/>
    <w:rsid w:val="009B422E"/>
    <w:rsid w:val="009B4D6F"/>
    <w:rsid w:val="009B5A6D"/>
    <w:rsid w:val="009B5FF5"/>
    <w:rsid w:val="009C0E86"/>
    <w:rsid w:val="009C1AB9"/>
    <w:rsid w:val="009D2938"/>
    <w:rsid w:val="009D3181"/>
    <w:rsid w:val="009D5314"/>
    <w:rsid w:val="009D5CB2"/>
    <w:rsid w:val="009E04E4"/>
    <w:rsid w:val="009E48A3"/>
    <w:rsid w:val="009E4FC6"/>
    <w:rsid w:val="009E6BB7"/>
    <w:rsid w:val="009F1371"/>
    <w:rsid w:val="009F3126"/>
    <w:rsid w:val="00A039CA"/>
    <w:rsid w:val="00A04FBF"/>
    <w:rsid w:val="00A05DCA"/>
    <w:rsid w:val="00A068EC"/>
    <w:rsid w:val="00A10D10"/>
    <w:rsid w:val="00A11437"/>
    <w:rsid w:val="00A11F12"/>
    <w:rsid w:val="00A139A6"/>
    <w:rsid w:val="00A14F76"/>
    <w:rsid w:val="00A1746F"/>
    <w:rsid w:val="00A2696E"/>
    <w:rsid w:val="00A2701B"/>
    <w:rsid w:val="00A4194A"/>
    <w:rsid w:val="00A42161"/>
    <w:rsid w:val="00A4424B"/>
    <w:rsid w:val="00A50D37"/>
    <w:rsid w:val="00A512A5"/>
    <w:rsid w:val="00A512C9"/>
    <w:rsid w:val="00A539E4"/>
    <w:rsid w:val="00A5438F"/>
    <w:rsid w:val="00A55597"/>
    <w:rsid w:val="00A56251"/>
    <w:rsid w:val="00A56C0B"/>
    <w:rsid w:val="00A6110F"/>
    <w:rsid w:val="00A62073"/>
    <w:rsid w:val="00A62A7F"/>
    <w:rsid w:val="00A633C6"/>
    <w:rsid w:val="00A63E3C"/>
    <w:rsid w:val="00A65361"/>
    <w:rsid w:val="00A653E5"/>
    <w:rsid w:val="00A665A2"/>
    <w:rsid w:val="00A712B9"/>
    <w:rsid w:val="00A719F0"/>
    <w:rsid w:val="00A721A0"/>
    <w:rsid w:val="00A75650"/>
    <w:rsid w:val="00A75D60"/>
    <w:rsid w:val="00A7755A"/>
    <w:rsid w:val="00A77708"/>
    <w:rsid w:val="00A808EF"/>
    <w:rsid w:val="00A820FC"/>
    <w:rsid w:val="00A826AD"/>
    <w:rsid w:val="00A8413B"/>
    <w:rsid w:val="00A845B1"/>
    <w:rsid w:val="00A90875"/>
    <w:rsid w:val="00A9509F"/>
    <w:rsid w:val="00AA24A4"/>
    <w:rsid w:val="00AA4766"/>
    <w:rsid w:val="00AA780B"/>
    <w:rsid w:val="00AB26E0"/>
    <w:rsid w:val="00AB29A9"/>
    <w:rsid w:val="00AB3AB0"/>
    <w:rsid w:val="00AB4760"/>
    <w:rsid w:val="00AB5A11"/>
    <w:rsid w:val="00AB5ED5"/>
    <w:rsid w:val="00AB66A5"/>
    <w:rsid w:val="00AC07D4"/>
    <w:rsid w:val="00AC0DE2"/>
    <w:rsid w:val="00AC2621"/>
    <w:rsid w:val="00AC7636"/>
    <w:rsid w:val="00AD0D7A"/>
    <w:rsid w:val="00AD1130"/>
    <w:rsid w:val="00AD5536"/>
    <w:rsid w:val="00AE5192"/>
    <w:rsid w:val="00AE6600"/>
    <w:rsid w:val="00AE7D13"/>
    <w:rsid w:val="00AF2A32"/>
    <w:rsid w:val="00AF4052"/>
    <w:rsid w:val="00AF47CA"/>
    <w:rsid w:val="00AF507E"/>
    <w:rsid w:val="00B07102"/>
    <w:rsid w:val="00B1032A"/>
    <w:rsid w:val="00B1165D"/>
    <w:rsid w:val="00B158B1"/>
    <w:rsid w:val="00B170EF"/>
    <w:rsid w:val="00B17A53"/>
    <w:rsid w:val="00B2499C"/>
    <w:rsid w:val="00B277E4"/>
    <w:rsid w:val="00B30528"/>
    <w:rsid w:val="00B3168E"/>
    <w:rsid w:val="00B3411B"/>
    <w:rsid w:val="00B35051"/>
    <w:rsid w:val="00B4108F"/>
    <w:rsid w:val="00B443C3"/>
    <w:rsid w:val="00B4454C"/>
    <w:rsid w:val="00B44B08"/>
    <w:rsid w:val="00B44DC5"/>
    <w:rsid w:val="00B4644C"/>
    <w:rsid w:val="00B4772C"/>
    <w:rsid w:val="00B5033A"/>
    <w:rsid w:val="00B50CF5"/>
    <w:rsid w:val="00B51209"/>
    <w:rsid w:val="00B525A7"/>
    <w:rsid w:val="00B54093"/>
    <w:rsid w:val="00B569B1"/>
    <w:rsid w:val="00B60082"/>
    <w:rsid w:val="00B61CED"/>
    <w:rsid w:val="00B63280"/>
    <w:rsid w:val="00B70C0E"/>
    <w:rsid w:val="00B7329A"/>
    <w:rsid w:val="00B7608C"/>
    <w:rsid w:val="00B76124"/>
    <w:rsid w:val="00B80DE8"/>
    <w:rsid w:val="00B8161D"/>
    <w:rsid w:val="00B84EBC"/>
    <w:rsid w:val="00B86755"/>
    <w:rsid w:val="00B90C14"/>
    <w:rsid w:val="00B93930"/>
    <w:rsid w:val="00B965CD"/>
    <w:rsid w:val="00B9691D"/>
    <w:rsid w:val="00B96E4B"/>
    <w:rsid w:val="00B96F5E"/>
    <w:rsid w:val="00BA204C"/>
    <w:rsid w:val="00BA2D4C"/>
    <w:rsid w:val="00BA70CB"/>
    <w:rsid w:val="00BB00FC"/>
    <w:rsid w:val="00BB2075"/>
    <w:rsid w:val="00BB2CCE"/>
    <w:rsid w:val="00BB51C8"/>
    <w:rsid w:val="00BB56D3"/>
    <w:rsid w:val="00BB65D4"/>
    <w:rsid w:val="00BB6CB4"/>
    <w:rsid w:val="00BC112C"/>
    <w:rsid w:val="00BC163B"/>
    <w:rsid w:val="00BC2F6B"/>
    <w:rsid w:val="00BC3B75"/>
    <w:rsid w:val="00BC46F2"/>
    <w:rsid w:val="00BC6222"/>
    <w:rsid w:val="00BD0512"/>
    <w:rsid w:val="00BD201F"/>
    <w:rsid w:val="00BD2FEA"/>
    <w:rsid w:val="00BD3371"/>
    <w:rsid w:val="00BE34FF"/>
    <w:rsid w:val="00BE3AD8"/>
    <w:rsid w:val="00BF1A9A"/>
    <w:rsid w:val="00BF50A2"/>
    <w:rsid w:val="00C0329C"/>
    <w:rsid w:val="00C07667"/>
    <w:rsid w:val="00C123BB"/>
    <w:rsid w:val="00C12AF0"/>
    <w:rsid w:val="00C13C29"/>
    <w:rsid w:val="00C17310"/>
    <w:rsid w:val="00C24AB5"/>
    <w:rsid w:val="00C255E8"/>
    <w:rsid w:val="00C302E1"/>
    <w:rsid w:val="00C3235B"/>
    <w:rsid w:val="00C348C0"/>
    <w:rsid w:val="00C34E40"/>
    <w:rsid w:val="00C350C3"/>
    <w:rsid w:val="00C41328"/>
    <w:rsid w:val="00C413E2"/>
    <w:rsid w:val="00C41919"/>
    <w:rsid w:val="00C42CAE"/>
    <w:rsid w:val="00C50908"/>
    <w:rsid w:val="00C53475"/>
    <w:rsid w:val="00C53F38"/>
    <w:rsid w:val="00C54801"/>
    <w:rsid w:val="00C57367"/>
    <w:rsid w:val="00C60DD3"/>
    <w:rsid w:val="00C61312"/>
    <w:rsid w:val="00C64A27"/>
    <w:rsid w:val="00C720C8"/>
    <w:rsid w:val="00C7322E"/>
    <w:rsid w:val="00C73F5E"/>
    <w:rsid w:val="00C75CCE"/>
    <w:rsid w:val="00C778A1"/>
    <w:rsid w:val="00C80299"/>
    <w:rsid w:val="00C81B22"/>
    <w:rsid w:val="00C8328B"/>
    <w:rsid w:val="00C84AC6"/>
    <w:rsid w:val="00C85C8A"/>
    <w:rsid w:val="00C85F4A"/>
    <w:rsid w:val="00C86724"/>
    <w:rsid w:val="00C87F4C"/>
    <w:rsid w:val="00C92434"/>
    <w:rsid w:val="00C976DE"/>
    <w:rsid w:val="00C979CE"/>
    <w:rsid w:val="00CA1354"/>
    <w:rsid w:val="00CA34BB"/>
    <w:rsid w:val="00CA618A"/>
    <w:rsid w:val="00CA6C68"/>
    <w:rsid w:val="00CA7FAB"/>
    <w:rsid w:val="00CB3E27"/>
    <w:rsid w:val="00CB4E1D"/>
    <w:rsid w:val="00CC0F8E"/>
    <w:rsid w:val="00CC1A28"/>
    <w:rsid w:val="00CC6A3F"/>
    <w:rsid w:val="00CC7DE2"/>
    <w:rsid w:val="00CD7F25"/>
    <w:rsid w:val="00CE16A1"/>
    <w:rsid w:val="00CE4FDE"/>
    <w:rsid w:val="00CF2D8C"/>
    <w:rsid w:val="00CF2DE2"/>
    <w:rsid w:val="00CF30C4"/>
    <w:rsid w:val="00CF48EA"/>
    <w:rsid w:val="00CF63C2"/>
    <w:rsid w:val="00CF6CFA"/>
    <w:rsid w:val="00D00E91"/>
    <w:rsid w:val="00D02E23"/>
    <w:rsid w:val="00D03108"/>
    <w:rsid w:val="00D04484"/>
    <w:rsid w:val="00D05F37"/>
    <w:rsid w:val="00D07A31"/>
    <w:rsid w:val="00D1398A"/>
    <w:rsid w:val="00D16ADA"/>
    <w:rsid w:val="00D17EE8"/>
    <w:rsid w:val="00D21056"/>
    <w:rsid w:val="00D243E7"/>
    <w:rsid w:val="00D24469"/>
    <w:rsid w:val="00D24893"/>
    <w:rsid w:val="00D312D2"/>
    <w:rsid w:val="00D3276E"/>
    <w:rsid w:val="00D33BE3"/>
    <w:rsid w:val="00D37E3E"/>
    <w:rsid w:val="00D43612"/>
    <w:rsid w:val="00D44362"/>
    <w:rsid w:val="00D4697C"/>
    <w:rsid w:val="00D52CBF"/>
    <w:rsid w:val="00D54C28"/>
    <w:rsid w:val="00D576CA"/>
    <w:rsid w:val="00D62067"/>
    <w:rsid w:val="00D621D6"/>
    <w:rsid w:val="00D662AA"/>
    <w:rsid w:val="00D6653E"/>
    <w:rsid w:val="00D66F04"/>
    <w:rsid w:val="00D678AC"/>
    <w:rsid w:val="00D71AF3"/>
    <w:rsid w:val="00D72793"/>
    <w:rsid w:val="00D72FCD"/>
    <w:rsid w:val="00D735D6"/>
    <w:rsid w:val="00D73E36"/>
    <w:rsid w:val="00D75213"/>
    <w:rsid w:val="00D83D1B"/>
    <w:rsid w:val="00D85561"/>
    <w:rsid w:val="00D8732D"/>
    <w:rsid w:val="00D90043"/>
    <w:rsid w:val="00D92BA6"/>
    <w:rsid w:val="00D92FC8"/>
    <w:rsid w:val="00D93F90"/>
    <w:rsid w:val="00D950BA"/>
    <w:rsid w:val="00D979C6"/>
    <w:rsid w:val="00D97FDC"/>
    <w:rsid w:val="00DA4AB8"/>
    <w:rsid w:val="00DA4D57"/>
    <w:rsid w:val="00DB5F3B"/>
    <w:rsid w:val="00DB7EEF"/>
    <w:rsid w:val="00DC50E2"/>
    <w:rsid w:val="00DC54A0"/>
    <w:rsid w:val="00DC6C9C"/>
    <w:rsid w:val="00DC7EB2"/>
    <w:rsid w:val="00DD005F"/>
    <w:rsid w:val="00DD0624"/>
    <w:rsid w:val="00DD13B0"/>
    <w:rsid w:val="00DD6678"/>
    <w:rsid w:val="00DE13B8"/>
    <w:rsid w:val="00DE19B1"/>
    <w:rsid w:val="00DE2953"/>
    <w:rsid w:val="00DE378C"/>
    <w:rsid w:val="00DE7055"/>
    <w:rsid w:val="00DE71AB"/>
    <w:rsid w:val="00DF25C5"/>
    <w:rsid w:val="00DF2FF3"/>
    <w:rsid w:val="00DF3134"/>
    <w:rsid w:val="00DF4FF1"/>
    <w:rsid w:val="00DF589E"/>
    <w:rsid w:val="00DF7145"/>
    <w:rsid w:val="00DF724F"/>
    <w:rsid w:val="00DF7327"/>
    <w:rsid w:val="00DF7A40"/>
    <w:rsid w:val="00E0295D"/>
    <w:rsid w:val="00E034FB"/>
    <w:rsid w:val="00E07D2A"/>
    <w:rsid w:val="00E10B1C"/>
    <w:rsid w:val="00E111AC"/>
    <w:rsid w:val="00E13CDE"/>
    <w:rsid w:val="00E14817"/>
    <w:rsid w:val="00E168E3"/>
    <w:rsid w:val="00E203EF"/>
    <w:rsid w:val="00E20DD5"/>
    <w:rsid w:val="00E213A7"/>
    <w:rsid w:val="00E215DF"/>
    <w:rsid w:val="00E2190B"/>
    <w:rsid w:val="00E226C6"/>
    <w:rsid w:val="00E2682A"/>
    <w:rsid w:val="00E27678"/>
    <w:rsid w:val="00E27B37"/>
    <w:rsid w:val="00E3200D"/>
    <w:rsid w:val="00E340A7"/>
    <w:rsid w:val="00E34208"/>
    <w:rsid w:val="00E37290"/>
    <w:rsid w:val="00E37A55"/>
    <w:rsid w:val="00E41C6F"/>
    <w:rsid w:val="00E45107"/>
    <w:rsid w:val="00E47B5D"/>
    <w:rsid w:val="00E47F4C"/>
    <w:rsid w:val="00E52467"/>
    <w:rsid w:val="00E52D98"/>
    <w:rsid w:val="00E544F9"/>
    <w:rsid w:val="00E54B1B"/>
    <w:rsid w:val="00E55643"/>
    <w:rsid w:val="00E56C15"/>
    <w:rsid w:val="00E571E1"/>
    <w:rsid w:val="00E57809"/>
    <w:rsid w:val="00E603B8"/>
    <w:rsid w:val="00E60A37"/>
    <w:rsid w:val="00E6170C"/>
    <w:rsid w:val="00E62221"/>
    <w:rsid w:val="00E62923"/>
    <w:rsid w:val="00E637DD"/>
    <w:rsid w:val="00E65BB2"/>
    <w:rsid w:val="00E66FD7"/>
    <w:rsid w:val="00E71C9B"/>
    <w:rsid w:val="00E72143"/>
    <w:rsid w:val="00E730A5"/>
    <w:rsid w:val="00E75503"/>
    <w:rsid w:val="00E80269"/>
    <w:rsid w:val="00E811F3"/>
    <w:rsid w:val="00E82463"/>
    <w:rsid w:val="00E84351"/>
    <w:rsid w:val="00E84F50"/>
    <w:rsid w:val="00E85F91"/>
    <w:rsid w:val="00E94212"/>
    <w:rsid w:val="00E96D0F"/>
    <w:rsid w:val="00EA1ADC"/>
    <w:rsid w:val="00EA23A7"/>
    <w:rsid w:val="00EA2B60"/>
    <w:rsid w:val="00EA75C1"/>
    <w:rsid w:val="00EB295F"/>
    <w:rsid w:val="00EB3B91"/>
    <w:rsid w:val="00EB78F4"/>
    <w:rsid w:val="00EC0DD2"/>
    <w:rsid w:val="00EC13BA"/>
    <w:rsid w:val="00EC16F8"/>
    <w:rsid w:val="00EC2A8D"/>
    <w:rsid w:val="00EC48C8"/>
    <w:rsid w:val="00EC4FD6"/>
    <w:rsid w:val="00EC571A"/>
    <w:rsid w:val="00ED0949"/>
    <w:rsid w:val="00ED219D"/>
    <w:rsid w:val="00ED3206"/>
    <w:rsid w:val="00EE0ED9"/>
    <w:rsid w:val="00EE109E"/>
    <w:rsid w:val="00EE23B1"/>
    <w:rsid w:val="00EE2E55"/>
    <w:rsid w:val="00EE382A"/>
    <w:rsid w:val="00EE3EB0"/>
    <w:rsid w:val="00EE6BC0"/>
    <w:rsid w:val="00EF1C05"/>
    <w:rsid w:val="00EF2700"/>
    <w:rsid w:val="00EF3951"/>
    <w:rsid w:val="00EF458D"/>
    <w:rsid w:val="00EF6426"/>
    <w:rsid w:val="00F01A04"/>
    <w:rsid w:val="00F02006"/>
    <w:rsid w:val="00F041A6"/>
    <w:rsid w:val="00F054A1"/>
    <w:rsid w:val="00F0574A"/>
    <w:rsid w:val="00F05A0F"/>
    <w:rsid w:val="00F10944"/>
    <w:rsid w:val="00F166D4"/>
    <w:rsid w:val="00F25C38"/>
    <w:rsid w:val="00F33A99"/>
    <w:rsid w:val="00F40E0E"/>
    <w:rsid w:val="00F45106"/>
    <w:rsid w:val="00F4528C"/>
    <w:rsid w:val="00F5422C"/>
    <w:rsid w:val="00F544E5"/>
    <w:rsid w:val="00F560DD"/>
    <w:rsid w:val="00F56D4C"/>
    <w:rsid w:val="00F61A2F"/>
    <w:rsid w:val="00F63914"/>
    <w:rsid w:val="00F652E9"/>
    <w:rsid w:val="00F658F3"/>
    <w:rsid w:val="00F65A20"/>
    <w:rsid w:val="00F676D0"/>
    <w:rsid w:val="00F679ED"/>
    <w:rsid w:val="00F67C74"/>
    <w:rsid w:val="00F67D26"/>
    <w:rsid w:val="00F72E3C"/>
    <w:rsid w:val="00F73A7B"/>
    <w:rsid w:val="00F8016B"/>
    <w:rsid w:val="00F804E1"/>
    <w:rsid w:val="00F84AE0"/>
    <w:rsid w:val="00F874CE"/>
    <w:rsid w:val="00F87536"/>
    <w:rsid w:val="00F87F88"/>
    <w:rsid w:val="00F90A9F"/>
    <w:rsid w:val="00F91DF6"/>
    <w:rsid w:val="00F953EB"/>
    <w:rsid w:val="00F962E3"/>
    <w:rsid w:val="00F973FC"/>
    <w:rsid w:val="00FA3359"/>
    <w:rsid w:val="00FA3F66"/>
    <w:rsid w:val="00FA73A6"/>
    <w:rsid w:val="00FA7BA5"/>
    <w:rsid w:val="00FB1FCF"/>
    <w:rsid w:val="00FB2706"/>
    <w:rsid w:val="00FB3374"/>
    <w:rsid w:val="00FB5AD4"/>
    <w:rsid w:val="00FB67DE"/>
    <w:rsid w:val="00FC6A15"/>
    <w:rsid w:val="00FC6AA4"/>
    <w:rsid w:val="00FD23CD"/>
    <w:rsid w:val="00FD4F5A"/>
    <w:rsid w:val="00FD68B9"/>
    <w:rsid w:val="00FD6CB9"/>
    <w:rsid w:val="00FD7D89"/>
    <w:rsid w:val="00FE3081"/>
    <w:rsid w:val="00FE3E3B"/>
    <w:rsid w:val="00FE7D87"/>
    <w:rsid w:val="00FF0134"/>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2AAA3B"/>
  <w15:chartTrackingRefBased/>
  <w15:docId w15:val="{D4E5C573-715B-4008-A978-DB788C777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caption" w:semiHidden="1" w:unhideWhenUsed="1" w:qFormat="1"/>
    <w:lsdException w:name="footnote reference"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7A76"/>
    <w:pPr>
      <w:spacing w:before="120" w:after="120"/>
    </w:pPr>
    <w:rPr>
      <w:rFonts w:ascii="Arial" w:hAnsi="Arial"/>
      <w:snapToGrid w:val="0"/>
      <w:lang w:eastAsia="en-US"/>
    </w:rPr>
  </w:style>
  <w:style w:type="paragraph" w:styleId="Ttulo1">
    <w:name w:val="heading 1"/>
    <w:basedOn w:val="Normal"/>
    <w:next w:val="Normal"/>
    <w:link w:val="Ttulo1Car"/>
    <w:autoRedefine/>
    <w:qFormat/>
    <w:rsid w:val="009956B4"/>
    <w:pPr>
      <w:keepNext/>
      <w:spacing w:before="240" w:after="240"/>
      <w:ind w:left="567" w:hanging="567"/>
      <w:jc w:val="both"/>
      <w:outlineLvl w:val="0"/>
    </w:pPr>
    <w:rPr>
      <w:rFonts w:ascii="Times New Roman" w:hAnsi="Times New Roman"/>
      <w:b/>
      <w:sz w:val="28"/>
    </w:rPr>
  </w:style>
  <w:style w:type="paragraph" w:styleId="Ttulo2">
    <w:name w:val="heading 2"/>
    <w:basedOn w:val="Normal"/>
    <w:next w:val="Normal"/>
    <w:link w:val="Ttulo2Car"/>
    <w:qFormat/>
    <w:pPr>
      <w:keepNext/>
      <w:outlineLvl w:val="1"/>
    </w:pPr>
  </w:style>
  <w:style w:type="paragraph" w:styleId="Ttulo3">
    <w:name w:val="heading 3"/>
    <w:basedOn w:val="Normal"/>
    <w:next w:val="Normal"/>
    <w:link w:val="Ttulo3Car"/>
    <w:qFormat/>
    <w:pPr>
      <w:keepNext/>
      <w:framePr w:hSpace="181" w:vSpace="181" w:wrap="auto" w:vAnchor="text" w:hAnchor="text" w:y="1"/>
      <w:outlineLvl w:val="2"/>
    </w:pPr>
  </w:style>
  <w:style w:type="paragraph" w:styleId="Ttulo4">
    <w:name w:val="heading 4"/>
    <w:basedOn w:val="Normal"/>
    <w:next w:val="Normal"/>
    <w:link w:val="Ttulo4Car"/>
    <w:qFormat/>
    <w:pPr>
      <w:keepNext/>
      <w:numPr>
        <w:ilvl w:val="3"/>
        <w:numId w:val="2"/>
      </w:numPr>
      <w:spacing w:before="240" w:after="60"/>
      <w:outlineLvl w:val="3"/>
    </w:pPr>
    <w:rPr>
      <w:b/>
      <w:sz w:val="24"/>
    </w:rPr>
  </w:style>
  <w:style w:type="paragraph" w:styleId="Ttulo5">
    <w:name w:val="heading 5"/>
    <w:basedOn w:val="Normal"/>
    <w:next w:val="Normal"/>
    <w:link w:val="Ttulo5Car"/>
    <w:qFormat/>
    <w:pPr>
      <w:numPr>
        <w:ilvl w:val="4"/>
        <w:numId w:val="2"/>
      </w:numPr>
      <w:spacing w:before="240" w:after="60"/>
      <w:outlineLvl w:val="4"/>
    </w:pPr>
    <w:rPr>
      <w:sz w:val="22"/>
    </w:rPr>
  </w:style>
  <w:style w:type="paragraph" w:styleId="Ttulo6">
    <w:name w:val="heading 6"/>
    <w:basedOn w:val="Normal"/>
    <w:next w:val="Normal"/>
    <w:link w:val="Ttulo6Car"/>
    <w:qFormat/>
    <w:pPr>
      <w:numPr>
        <w:ilvl w:val="5"/>
        <w:numId w:val="2"/>
      </w:numPr>
      <w:tabs>
        <w:tab w:val="clear" w:pos="360"/>
        <w:tab w:val="num" w:pos="1152"/>
      </w:tabs>
      <w:spacing w:before="240" w:after="60"/>
      <w:ind w:left="1152" w:hanging="1152"/>
      <w:outlineLvl w:val="5"/>
    </w:pPr>
    <w:rPr>
      <w:i/>
      <w:sz w:val="22"/>
    </w:rPr>
  </w:style>
  <w:style w:type="paragraph" w:styleId="Ttulo7">
    <w:name w:val="heading 7"/>
    <w:basedOn w:val="Normal"/>
    <w:next w:val="Normal"/>
    <w:link w:val="Ttulo7Car"/>
    <w:qFormat/>
    <w:pPr>
      <w:numPr>
        <w:ilvl w:val="6"/>
        <w:numId w:val="2"/>
      </w:numPr>
      <w:spacing w:before="240" w:after="60"/>
      <w:outlineLvl w:val="6"/>
    </w:pPr>
  </w:style>
  <w:style w:type="paragraph" w:styleId="Ttulo8">
    <w:name w:val="heading 8"/>
    <w:basedOn w:val="Normal"/>
    <w:next w:val="Normal"/>
    <w:link w:val="Ttulo8Car"/>
    <w:qFormat/>
    <w:pPr>
      <w:numPr>
        <w:ilvl w:val="7"/>
        <w:numId w:val="2"/>
      </w:numPr>
      <w:spacing w:before="240" w:after="60"/>
      <w:outlineLvl w:val="7"/>
    </w:pPr>
    <w:rPr>
      <w:i/>
    </w:rPr>
  </w:style>
  <w:style w:type="paragraph" w:styleId="Ttulo9">
    <w:name w:val="heading 9"/>
    <w:basedOn w:val="Normal"/>
    <w:next w:val="Normal"/>
    <w:link w:val="Ttulo9Car"/>
    <w:qFormat/>
    <w:pPr>
      <w:numPr>
        <w:ilvl w:val="8"/>
        <w:numId w:val="2"/>
      </w:numPr>
      <w:spacing w:before="240" w:after="6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pPr>
      <w:jc w:val="center"/>
    </w:pPr>
    <w:rPr>
      <w:b/>
      <w:sz w:val="28"/>
    </w:rPr>
  </w:style>
  <w:style w:type="paragraph" w:styleId="Subttulo">
    <w:name w:val="Subtitle"/>
    <w:basedOn w:val="Normal"/>
    <w:link w:val="SubttuloCar"/>
    <w:qFormat/>
    <w:pPr>
      <w:jc w:val="center"/>
    </w:pPr>
    <w:rPr>
      <w:b/>
      <w:sz w:val="28"/>
    </w:rPr>
  </w:style>
  <w:style w:type="paragraph" w:styleId="Sangradetextonormal">
    <w:name w:val="Body Text Indent"/>
    <w:basedOn w:val="Normal"/>
    <w:link w:val="SangradetextonormalCar"/>
    <w:pPr>
      <w:tabs>
        <w:tab w:val="num" w:pos="567"/>
      </w:tabs>
      <w:spacing w:before="0" w:after="0"/>
      <w:jc w:val="both"/>
    </w:pPr>
    <w:rPr>
      <w:rFonts w:ascii="Times New Roman" w:hAnsi="Times New Roman"/>
      <w:sz w:val="24"/>
    </w:rPr>
  </w:style>
  <w:style w:type="paragraph" w:styleId="Textoindependiente">
    <w:name w:val="Body Text"/>
    <w:basedOn w:val="Normal"/>
    <w:link w:val="TextoindependienteCar"/>
  </w:style>
  <w:style w:type="paragraph" w:styleId="Sangra2detindependiente">
    <w:name w:val="Body Text Indent 2"/>
    <w:basedOn w:val="Normal"/>
    <w:link w:val="Sangra2detindependienteCar"/>
    <w:pPr>
      <w:tabs>
        <w:tab w:val="num" w:pos="567"/>
        <w:tab w:val="num" w:pos="2160"/>
      </w:tabs>
      <w:spacing w:after="240"/>
      <w:ind w:left="567" w:hanging="567"/>
      <w:jc w:val="both"/>
    </w:pPr>
    <w:rPr>
      <w:sz w:val="24"/>
      <w:u w:val="single"/>
    </w:rPr>
  </w:style>
  <w:style w:type="paragraph" w:styleId="Sangra3detindependiente">
    <w:name w:val="Body Text Indent 3"/>
    <w:basedOn w:val="Normal"/>
    <w:link w:val="Sangra3detindependienteCar"/>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rPr>
  </w:style>
  <w:style w:type="paragraph" w:styleId="Encabezado">
    <w:name w:val="header"/>
    <w:basedOn w:val="Normal"/>
    <w:link w:val="EncabezadoCar"/>
    <w:pPr>
      <w:tabs>
        <w:tab w:val="center" w:pos="4320"/>
        <w:tab w:val="right" w:pos="8640"/>
      </w:tabs>
    </w:pPr>
  </w:style>
  <w:style w:type="paragraph" w:styleId="Piedepgina">
    <w:name w:val="footer"/>
    <w:basedOn w:val="Normal"/>
    <w:link w:val="PiedepginaCar"/>
    <w:pPr>
      <w:tabs>
        <w:tab w:val="center" w:pos="4320"/>
        <w:tab w:val="right" w:pos="8640"/>
      </w:tabs>
    </w:pPr>
  </w:style>
  <w:style w:type="character" w:styleId="Nmerodepgina">
    <w:name w:val="page number"/>
    <w:basedOn w:val="Fuentedeprrafopredeter"/>
  </w:style>
  <w:style w:type="paragraph" w:styleId="Textoindependiente3">
    <w:name w:val="Body Text 3"/>
    <w:basedOn w:val="Normal"/>
    <w:link w:val="Textoindependiente3Car"/>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rPr>
  </w:style>
  <w:style w:type="character" w:styleId="Hipervnculo">
    <w:name w:val="Hyperlink"/>
    <w:rPr>
      <w:color w:val="0000FF"/>
      <w:u w:val="single"/>
    </w:rPr>
  </w:style>
  <w:style w:type="paragraph" w:styleId="Textonotapie">
    <w:name w:val="footnote text"/>
    <w:aliases w:val="Schriftart: 9 pt,Schriftart: 10 pt,Schriftart: 8 pt,WB-Fußnotentext,FoodNote,ft,Footnote,Footnote Text Char Char,Footnote Text Char1 Char Char,Footnote Text Char Char Char Char,fn,f,Voetnoottekst Char,Footnote Text Char1 Cha"/>
    <w:basedOn w:val="Normal"/>
    <w:link w:val="TextonotapieCar"/>
    <w:autoRedefine/>
    <w:uiPriority w:val="99"/>
    <w:qFormat/>
    <w:rsid w:val="00EB295F"/>
    <w:pPr>
      <w:spacing w:before="0"/>
    </w:pPr>
    <w:rPr>
      <w:rFonts w:ascii="Times New Roman" w:hAnsi="Times New Roman"/>
    </w:rPr>
  </w:style>
  <w:style w:type="character" w:styleId="Refdenotaalpie">
    <w:name w:val="footnote reference"/>
    <w:aliases w:val="Footnote symbol,Times 10 Point,Exposant 3 Point, Exposant 3 Point,Footnote number,Footnote Reference Number,Footnote reference number,Footnote Reference Superscript,EN Footnote Reference,note TESI,Voetnootverwijzing,fr,o,FR,FR1"/>
    <w:qFormat/>
    <w:rPr>
      <w:vertAlign w:val="superscript"/>
    </w:rPr>
  </w:style>
  <w:style w:type="paragraph" w:styleId="Mapadeldocumento">
    <w:name w:val="Document Map"/>
    <w:basedOn w:val="Normal"/>
    <w:link w:val="MapadeldocumentoCar"/>
    <w:semiHidden/>
    <w:pPr>
      <w:shd w:val="clear" w:color="auto" w:fill="000080"/>
    </w:pPr>
    <w:rPr>
      <w:sz w:val="24"/>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customStyle="1" w:styleId="SubTitle1">
    <w:name w:val="SubTitle 1"/>
    <w:basedOn w:val="Normal"/>
    <w:next w:val="SubTitle2"/>
    <w:pPr>
      <w:spacing w:after="240"/>
      <w:jc w:val="center"/>
    </w:pPr>
    <w:rPr>
      <w:b/>
      <w:sz w:val="40"/>
    </w:rPr>
  </w:style>
  <w:style w:type="paragraph" w:customStyle="1" w:styleId="SubTitle2">
    <w:name w:val="SubTitle 2"/>
    <w:basedOn w:val="Normal"/>
    <w:pPr>
      <w:spacing w:after="240"/>
      <w:jc w:val="center"/>
    </w:pPr>
    <w:rPr>
      <w:b/>
      <w:sz w:val="32"/>
    </w:rPr>
  </w:style>
  <w:style w:type="paragraph" w:customStyle="1" w:styleId="Annexetitle">
    <w:name w:val="Annexe_title"/>
    <w:basedOn w:val="Ttulo1"/>
    <w:next w:val="Normal"/>
    <w:autoRedefine/>
    <w:pPr>
      <w:keepNext w:val="0"/>
      <w:pageBreakBefore/>
      <w:tabs>
        <w:tab w:val="left" w:pos="567"/>
        <w:tab w:val="left" w:pos="2552"/>
        <w:tab w:val="left" w:pos="7938"/>
        <w:tab w:val="left" w:pos="9072"/>
      </w:tabs>
      <w:spacing w:before="0" w:after="0"/>
      <w:ind w:left="0" w:firstLine="0"/>
      <w:jc w:val="left"/>
      <w:outlineLvl w:val="9"/>
    </w:pPr>
    <w:rPr>
      <w:caps/>
    </w:rPr>
  </w:style>
  <w:style w:type="paragraph" w:customStyle="1" w:styleId="Style1">
    <w:name w:val="Style1"/>
    <w:basedOn w:val="Normal"/>
    <w:pPr>
      <w:keepNext/>
      <w:widowControl w:val="0"/>
      <w:tabs>
        <w:tab w:val="num" w:pos="992"/>
      </w:tabs>
      <w:ind w:left="992" w:hanging="992"/>
    </w:pPr>
    <w:rPr>
      <w:b/>
      <w:sz w:val="18"/>
    </w:rPr>
  </w:style>
  <w:style w:type="paragraph" w:customStyle="1" w:styleId="titlefront">
    <w:name w:val="title_front"/>
    <w:basedOn w:val="Normal"/>
    <w:pPr>
      <w:spacing w:before="240"/>
      <w:ind w:left="1701"/>
      <w:jc w:val="right"/>
    </w:pPr>
    <w:rPr>
      <w:rFonts w:ascii="Optima" w:hAnsi="Optima"/>
      <w:b/>
      <w:sz w:val="28"/>
    </w:rPr>
  </w:style>
  <w:style w:type="paragraph" w:styleId="TD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DC2">
    <w:name w:val="toc 2"/>
    <w:basedOn w:val="Normal"/>
    <w:next w:val="Normal"/>
    <w:autoRedefine/>
    <w:semiHidden/>
    <w:pPr>
      <w:spacing w:before="0" w:after="0"/>
      <w:ind w:left="200"/>
    </w:pPr>
    <w:rPr>
      <w:rFonts w:ascii="Times New Roman" w:hAnsi="Times New Roman"/>
      <w:smallCaps/>
    </w:rPr>
  </w:style>
  <w:style w:type="character" w:styleId="Textoennegrita">
    <w:name w:val="Strong"/>
    <w:qFormat/>
    <w:rPr>
      <w:b/>
    </w:rPr>
  </w:style>
  <w:style w:type="paragraph" w:customStyle="1" w:styleId="Blockquote">
    <w:name w:val="Blockquote"/>
    <w:basedOn w:val="Normal"/>
    <w:pPr>
      <w:widowControl w:val="0"/>
      <w:spacing w:before="100" w:after="100"/>
      <w:ind w:left="360" w:right="360"/>
    </w:pPr>
    <w:rPr>
      <w:sz w:val="24"/>
    </w:rPr>
  </w:style>
  <w:style w:type="paragraph" w:styleId="TDC3">
    <w:name w:val="toc 3"/>
    <w:basedOn w:val="Normal"/>
    <w:next w:val="Normal"/>
    <w:autoRedefine/>
    <w:semiHidden/>
    <w:pPr>
      <w:spacing w:before="0" w:after="0"/>
      <w:ind w:left="400"/>
    </w:pPr>
    <w:rPr>
      <w:rFonts w:ascii="Times New Roman" w:hAnsi="Times New Roman"/>
      <w:i/>
    </w:rPr>
  </w:style>
  <w:style w:type="paragraph" w:styleId="TDC4">
    <w:name w:val="toc 4"/>
    <w:basedOn w:val="Normal"/>
    <w:next w:val="Normal"/>
    <w:autoRedefine/>
    <w:semiHidden/>
    <w:pPr>
      <w:spacing w:before="0" w:after="0"/>
      <w:ind w:left="600"/>
    </w:pPr>
    <w:rPr>
      <w:rFonts w:ascii="Times New Roman" w:hAnsi="Times New Roman"/>
      <w:sz w:val="18"/>
    </w:rPr>
  </w:style>
  <w:style w:type="paragraph" w:styleId="TDC5">
    <w:name w:val="toc 5"/>
    <w:basedOn w:val="Normal"/>
    <w:next w:val="Normal"/>
    <w:autoRedefine/>
    <w:semiHidden/>
    <w:pPr>
      <w:spacing w:before="0" w:after="0"/>
      <w:ind w:left="800"/>
    </w:pPr>
    <w:rPr>
      <w:rFonts w:ascii="Times New Roman" w:hAnsi="Times New Roman"/>
      <w:sz w:val="18"/>
    </w:rPr>
  </w:style>
  <w:style w:type="paragraph" w:styleId="TDC6">
    <w:name w:val="toc 6"/>
    <w:basedOn w:val="Normal"/>
    <w:next w:val="Normal"/>
    <w:autoRedefine/>
    <w:semiHidden/>
    <w:pPr>
      <w:spacing w:before="0" w:after="0"/>
      <w:ind w:left="1000"/>
    </w:pPr>
    <w:rPr>
      <w:rFonts w:ascii="Times New Roman" w:hAnsi="Times New Roman"/>
      <w:sz w:val="18"/>
    </w:rPr>
  </w:style>
  <w:style w:type="paragraph" w:styleId="TDC7">
    <w:name w:val="toc 7"/>
    <w:basedOn w:val="Normal"/>
    <w:next w:val="Normal"/>
    <w:autoRedefine/>
    <w:semiHidden/>
    <w:pPr>
      <w:spacing w:before="0" w:after="0"/>
      <w:ind w:left="1200"/>
    </w:pPr>
    <w:rPr>
      <w:rFonts w:ascii="Times New Roman" w:hAnsi="Times New Roman"/>
      <w:sz w:val="18"/>
    </w:rPr>
  </w:style>
  <w:style w:type="paragraph" w:styleId="TDC8">
    <w:name w:val="toc 8"/>
    <w:basedOn w:val="Normal"/>
    <w:next w:val="Normal"/>
    <w:autoRedefine/>
    <w:semiHidden/>
    <w:pPr>
      <w:spacing w:before="0" w:after="0"/>
      <w:ind w:left="1400"/>
    </w:pPr>
    <w:rPr>
      <w:rFonts w:ascii="Times New Roman" w:hAnsi="Times New Roman"/>
      <w:sz w:val="18"/>
    </w:rPr>
  </w:style>
  <w:style w:type="paragraph" w:styleId="TDC9">
    <w:name w:val="toc 9"/>
    <w:basedOn w:val="Normal"/>
    <w:next w:val="Normal"/>
    <w:autoRedefine/>
    <w:semiHidden/>
    <w:pPr>
      <w:spacing w:before="0" w:after="0"/>
      <w:ind w:left="1600"/>
    </w:pPr>
    <w:rPr>
      <w:rFonts w:ascii="Times New Roman" w:hAnsi="Times New Roman"/>
      <w:sz w:val="18"/>
    </w:rPr>
  </w:style>
  <w:style w:type="character" w:styleId="Hipervnculovisitado">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rFonts w:ascii="Arial" w:hAnsi="Arial"/>
      <w:snapToGrid w:val="0"/>
      <w:sz w:val="24"/>
      <w:lang w:eastAsia="en-US"/>
    </w:rPr>
  </w:style>
  <w:style w:type="paragraph" w:customStyle="1" w:styleId="Section">
    <w:name w:val="Section"/>
    <w:basedOn w:val="Normal"/>
    <w:pPr>
      <w:widowControl w:val="0"/>
      <w:spacing w:before="0" w:after="0" w:line="360" w:lineRule="exact"/>
      <w:jc w:val="center"/>
    </w:pPr>
    <w:rPr>
      <w:b/>
      <w:sz w:val="32"/>
    </w:rPr>
  </w:style>
  <w:style w:type="paragraph" w:customStyle="1" w:styleId="ManualNumPar1">
    <w:name w:val="Manual NumPar 1"/>
    <w:basedOn w:val="Normal"/>
    <w:next w:val="Normal"/>
    <w:pPr>
      <w:ind w:left="851" w:hanging="851"/>
      <w:jc w:val="both"/>
    </w:pPr>
    <w:rPr>
      <w:rFonts w:ascii="Times New Roman" w:hAnsi="Times New Roman"/>
      <w:sz w:val="24"/>
    </w:rPr>
  </w:style>
  <w:style w:type="table" w:styleId="Tablaconcuadrcula">
    <w:name w:val="Table Grid"/>
    <w:basedOn w:val="Tabla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2">
    <w:name w:val="Body Text 2"/>
    <w:basedOn w:val="Normal"/>
    <w:link w:val="Textoindependiente2Car"/>
    <w:rsid w:val="00AE7D13"/>
    <w:pPr>
      <w:tabs>
        <w:tab w:val="num" w:pos="567"/>
      </w:tabs>
      <w:spacing w:before="0" w:after="0"/>
      <w:jc w:val="both"/>
    </w:pPr>
    <w:rPr>
      <w:rFonts w:ascii="Times New Roman" w:hAnsi="Times New Roman"/>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rPr>
  </w:style>
  <w:style w:type="paragraph" w:styleId="Textodeglobo">
    <w:name w:val="Balloon Text"/>
    <w:basedOn w:val="Normal"/>
    <w:semiHidden/>
    <w:rsid w:val="00DE13B8"/>
    <w:rPr>
      <w:rFonts w:ascii="Tahoma" w:hAnsi="Tahoma" w:cs="Tahoma"/>
      <w:sz w:val="16"/>
      <w:szCs w:val="16"/>
    </w:rPr>
  </w:style>
  <w:style w:type="paragraph" w:customStyle="1" w:styleId="StyleHeading1TimesNewRoman14ptItalic">
    <w:name w:val="Style Heading 1 + Times New Roman 14 pt Italic"/>
    <w:basedOn w:val="Ttulo1"/>
    <w:autoRedefine/>
    <w:rsid w:val="00A4424B"/>
    <w:pPr>
      <w:spacing w:before="120" w:after="120"/>
    </w:pPr>
    <w:rPr>
      <w:bCs/>
      <w:iCs/>
      <w:sz w:val="24"/>
      <w:szCs w:val="24"/>
    </w:rPr>
  </w:style>
  <w:style w:type="character" w:customStyle="1" w:styleId="Ttulo2Car">
    <w:name w:val="Título 2 Car"/>
    <w:link w:val="Ttulo2"/>
    <w:semiHidden/>
    <w:locked/>
    <w:rsid w:val="0047783A"/>
    <w:rPr>
      <w:rFonts w:ascii="Arial" w:hAnsi="Arial"/>
      <w:snapToGrid w:val="0"/>
      <w:lang w:val="es-ES" w:eastAsia="en-US" w:bidi="ar-SA"/>
    </w:rPr>
  </w:style>
  <w:style w:type="character" w:customStyle="1" w:styleId="Ttulo1Car">
    <w:name w:val="Título 1 Car"/>
    <w:link w:val="Ttulo1"/>
    <w:rsid w:val="009956B4"/>
    <w:rPr>
      <w:b/>
      <w:snapToGrid w:val="0"/>
      <w:sz w:val="28"/>
      <w:lang w:val="es-ES" w:eastAsia="en-US"/>
    </w:rPr>
  </w:style>
  <w:style w:type="character" w:customStyle="1" w:styleId="Heading1Char">
    <w:name w:val="Heading 1 Char"/>
    <w:locked/>
    <w:rsid w:val="0047783A"/>
    <w:rPr>
      <w:b/>
      <w:sz w:val="24"/>
      <w:szCs w:val="24"/>
      <w:lang w:val="es-ES" w:eastAsia="en-US" w:bidi="ar-SA"/>
    </w:rPr>
  </w:style>
  <w:style w:type="character" w:customStyle="1" w:styleId="Ttulo3Car">
    <w:name w:val="Título 3 Car"/>
    <w:link w:val="Ttulo3"/>
    <w:semiHidden/>
    <w:locked/>
    <w:rsid w:val="0047783A"/>
    <w:rPr>
      <w:rFonts w:ascii="Arial" w:hAnsi="Arial"/>
      <w:snapToGrid w:val="0"/>
      <w:lang w:val="es-ES" w:eastAsia="en-US" w:bidi="ar-SA"/>
    </w:rPr>
  </w:style>
  <w:style w:type="character" w:customStyle="1" w:styleId="Ttulo4Car">
    <w:name w:val="Título 4 Car"/>
    <w:link w:val="Ttulo4"/>
    <w:semiHidden/>
    <w:locked/>
    <w:rsid w:val="0047783A"/>
    <w:rPr>
      <w:rFonts w:ascii="Arial" w:hAnsi="Arial"/>
      <w:b/>
      <w:snapToGrid w:val="0"/>
      <w:sz w:val="24"/>
      <w:lang w:val="es-ES" w:eastAsia="en-US" w:bidi="ar-SA"/>
    </w:rPr>
  </w:style>
  <w:style w:type="character" w:customStyle="1" w:styleId="Ttulo5Car">
    <w:name w:val="Título 5 Car"/>
    <w:link w:val="Ttulo5"/>
    <w:semiHidden/>
    <w:locked/>
    <w:rsid w:val="0047783A"/>
    <w:rPr>
      <w:rFonts w:ascii="Arial" w:hAnsi="Arial"/>
      <w:snapToGrid w:val="0"/>
      <w:sz w:val="22"/>
      <w:lang w:val="es-ES" w:eastAsia="en-US" w:bidi="ar-SA"/>
    </w:rPr>
  </w:style>
  <w:style w:type="character" w:customStyle="1" w:styleId="Ttulo6Car">
    <w:name w:val="Título 6 Car"/>
    <w:link w:val="Ttulo6"/>
    <w:semiHidden/>
    <w:locked/>
    <w:rsid w:val="0047783A"/>
    <w:rPr>
      <w:rFonts w:ascii="Arial" w:hAnsi="Arial"/>
      <w:i/>
      <w:snapToGrid w:val="0"/>
      <w:sz w:val="22"/>
      <w:lang w:val="es-ES" w:eastAsia="en-US" w:bidi="ar-SA"/>
    </w:rPr>
  </w:style>
  <w:style w:type="character" w:customStyle="1" w:styleId="Ttulo7Car">
    <w:name w:val="Título 7 Car"/>
    <w:link w:val="Ttulo7"/>
    <w:semiHidden/>
    <w:locked/>
    <w:rsid w:val="0047783A"/>
    <w:rPr>
      <w:rFonts w:ascii="Arial" w:hAnsi="Arial"/>
      <w:snapToGrid w:val="0"/>
      <w:lang w:val="es-ES" w:eastAsia="en-US" w:bidi="ar-SA"/>
    </w:rPr>
  </w:style>
  <w:style w:type="character" w:customStyle="1" w:styleId="Ttulo8Car">
    <w:name w:val="Título 8 Car"/>
    <w:link w:val="Ttulo8"/>
    <w:semiHidden/>
    <w:locked/>
    <w:rsid w:val="0047783A"/>
    <w:rPr>
      <w:rFonts w:ascii="Arial" w:hAnsi="Arial"/>
      <w:i/>
      <w:snapToGrid w:val="0"/>
      <w:lang w:val="es-ES" w:eastAsia="en-US" w:bidi="ar-SA"/>
    </w:rPr>
  </w:style>
  <w:style w:type="character" w:customStyle="1" w:styleId="Ttulo9Car">
    <w:name w:val="Título 9 Car"/>
    <w:link w:val="Ttulo9"/>
    <w:semiHidden/>
    <w:locked/>
    <w:rsid w:val="0047783A"/>
    <w:rPr>
      <w:rFonts w:ascii="Arial" w:hAnsi="Arial"/>
      <w:b/>
      <w:i/>
      <w:snapToGrid w:val="0"/>
      <w:sz w:val="18"/>
      <w:lang w:val="es-ES" w:eastAsia="en-US" w:bidi="ar-SA"/>
    </w:rPr>
  </w:style>
  <w:style w:type="character" w:customStyle="1" w:styleId="TtuloCar">
    <w:name w:val="Título Car"/>
    <w:link w:val="Ttulo"/>
    <w:locked/>
    <w:rsid w:val="0047783A"/>
    <w:rPr>
      <w:rFonts w:ascii="Arial" w:hAnsi="Arial"/>
      <w:b/>
      <w:snapToGrid w:val="0"/>
      <w:sz w:val="28"/>
      <w:lang w:val="es-ES" w:eastAsia="en-US" w:bidi="ar-SA"/>
    </w:rPr>
  </w:style>
  <w:style w:type="character" w:customStyle="1" w:styleId="SubttuloCar">
    <w:name w:val="Subtítulo Car"/>
    <w:link w:val="Subttulo"/>
    <w:locked/>
    <w:rsid w:val="0047783A"/>
    <w:rPr>
      <w:rFonts w:ascii="Arial" w:hAnsi="Arial"/>
      <w:b/>
      <w:snapToGrid w:val="0"/>
      <w:sz w:val="28"/>
      <w:lang w:val="es-ES" w:eastAsia="en-US" w:bidi="ar-SA"/>
    </w:rPr>
  </w:style>
  <w:style w:type="character" w:customStyle="1" w:styleId="SangradetextonormalCar">
    <w:name w:val="Sangría de texto normal Car"/>
    <w:link w:val="Sangradetextonormal"/>
    <w:semiHidden/>
    <w:locked/>
    <w:rsid w:val="0047783A"/>
    <w:rPr>
      <w:snapToGrid w:val="0"/>
      <w:sz w:val="24"/>
      <w:lang w:val="es-ES" w:eastAsia="en-US" w:bidi="ar-SA"/>
    </w:rPr>
  </w:style>
  <w:style w:type="character" w:customStyle="1" w:styleId="TextoindependienteCar">
    <w:name w:val="Texto independiente Car"/>
    <w:link w:val="Textoindependiente"/>
    <w:semiHidden/>
    <w:locked/>
    <w:rsid w:val="0047783A"/>
    <w:rPr>
      <w:rFonts w:ascii="Arial" w:hAnsi="Arial"/>
      <w:snapToGrid w:val="0"/>
      <w:lang w:val="es-ES" w:eastAsia="en-US" w:bidi="ar-SA"/>
    </w:rPr>
  </w:style>
  <w:style w:type="character" w:customStyle="1" w:styleId="Sangra2detindependienteCar">
    <w:name w:val="Sangría 2 de t. independiente Car"/>
    <w:link w:val="Sangra2detindependiente"/>
    <w:semiHidden/>
    <w:locked/>
    <w:rsid w:val="0047783A"/>
    <w:rPr>
      <w:rFonts w:ascii="Arial" w:hAnsi="Arial"/>
      <w:snapToGrid w:val="0"/>
      <w:sz w:val="24"/>
      <w:u w:val="single"/>
      <w:lang w:val="es-ES" w:eastAsia="en-US" w:bidi="ar-SA"/>
    </w:rPr>
  </w:style>
  <w:style w:type="character" w:customStyle="1" w:styleId="Sangra3detindependienteCar">
    <w:name w:val="Sangría 3 de t. independiente Car"/>
    <w:link w:val="Sangra3detindependiente"/>
    <w:semiHidden/>
    <w:locked/>
    <w:rsid w:val="0047783A"/>
    <w:rPr>
      <w:rFonts w:ascii="Arial" w:hAnsi="Arial"/>
      <w:snapToGrid w:val="0"/>
      <w:sz w:val="24"/>
      <w:lang w:val="es-ES" w:eastAsia="en-US" w:bidi="ar-SA"/>
    </w:rPr>
  </w:style>
  <w:style w:type="character" w:customStyle="1" w:styleId="EncabezadoCar">
    <w:name w:val="Encabezado Car"/>
    <w:link w:val="Encabezado"/>
    <w:semiHidden/>
    <w:locked/>
    <w:rsid w:val="0047783A"/>
    <w:rPr>
      <w:rFonts w:ascii="Arial" w:hAnsi="Arial"/>
      <w:snapToGrid w:val="0"/>
      <w:lang w:val="es-ES" w:eastAsia="en-US" w:bidi="ar-SA"/>
    </w:rPr>
  </w:style>
  <w:style w:type="character" w:customStyle="1" w:styleId="PiedepginaCar">
    <w:name w:val="Pie de página Car"/>
    <w:link w:val="Piedepgina"/>
    <w:semiHidden/>
    <w:locked/>
    <w:rsid w:val="0047783A"/>
    <w:rPr>
      <w:rFonts w:ascii="Arial" w:hAnsi="Arial"/>
      <w:snapToGrid w:val="0"/>
      <w:lang w:val="es-ES" w:eastAsia="en-US" w:bidi="ar-SA"/>
    </w:rPr>
  </w:style>
  <w:style w:type="character" w:customStyle="1" w:styleId="Textoindependiente3Car">
    <w:name w:val="Texto independiente 3 Car"/>
    <w:link w:val="Textoindependiente3"/>
    <w:semiHidden/>
    <w:locked/>
    <w:rsid w:val="0047783A"/>
    <w:rPr>
      <w:rFonts w:ascii="Arial" w:hAnsi="Arial"/>
      <w:b/>
      <w:snapToGrid w:val="0"/>
      <w:sz w:val="24"/>
      <w:lang w:val="es-ES" w:eastAsia="en-US" w:bidi="ar-SA"/>
    </w:rPr>
  </w:style>
  <w:style w:type="character" w:customStyle="1" w:styleId="TextonotapieCar">
    <w:name w:val="Texto nota pie Car"/>
    <w:aliases w:val="Schriftart: 9 pt Car,Schriftart: 10 pt Car,Schriftart: 8 pt Car,WB-Fußnotentext Car,FoodNote Car,ft Car,Footnote Car,Footnote Text Char Char Car,Footnote Text Char1 Char Char Car,Footnote Text Char Char Char Char Car,fn Car,f Car"/>
    <w:link w:val="Textonotapie"/>
    <w:uiPriority w:val="99"/>
    <w:locked/>
    <w:rsid w:val="0047783A"/>
    <w:rPr>
      <w:rFonts w:ascii="Arial" w:hAnsi="Arial"/>
      <w:snapToGrid w:val="0"/>
      <w:lang w:val="es-ES" w:eastAsia="en-US" w:bidi="ar-SA"/>
    </w:rPr>
  </w:style>
  <w:style w:type="character" w:customStyle="1" w:styleId="MapadeldocumentoCar">
    <w:name w:val="Mapa del documento Car"/>
    <w:link w:val="Mapadeldocumento"/>
    <w:semiHidden/>
    <w:locked/>
    <w:rsid w:val="0047783A"/>
    <w:rPr>
      <w:rFonts w:ascii="Arial" w:hAnsi="Arial"/>
      <w:snapToGrid w:val="0"/>
      <w:sz w:val="24"/>
      <w:lang w:val="es-ES" w:eastAsia="en-US" w:bidi="ar-SA"/>
    </w:rPr>
  </w:style>
  <w:style w:type="character" w:customStyle="1" w:styleId="Textoindependiente2Car">
    <w:name w:val="Texto independiente 2 Car"/>
    <w:link w:val="Textoindependiente2"/>
    <w:semiHidden/>
    <w:locked/>
    <w:rsid w:val="0047783A"/>
    <w:rPr>
      <w:sz w:val="24"/>
      <w:lang w:val="es-ES" w:eastAsia="en-GB" w:bidi="ar-SA"/>
    </w:rPr>
  </w:style>
  <w:style w:type="paragraph" w:customStyle="1" w:styleId="StyleHeading3">
    <w:name w:val="Style Heading 3"/>
    <w:basedOn w:val="Normal"/>
    <w:rsid w:val="0047783A"/>
    <w:pPr>
      <w:tabs>
        <w:tab w:val="num" w:pos="567"/>
      </w:tabs>
      <w:ind w:left="1134" w:hanging="567"/>
    </w:pPr>
    <w:rPr>
      <w:snapToGrid/>
    </w:rPr>
  </w:style>
  <w:style w:type="paragraph" w:customStyle="1" w:styleId="Style11ptBlackJustifiedRight001cmBefore865ptL">
    <w:name w:val="Style 11 pt Black Justified Right:  001 cm Before:  865 pt L..."/>
    <w:basedOn w:val="Normal"/>
    <w:next w:val="Normal"/>
    <w:autoRedefine/>
    <w:rsid w:val="0047783A"/>
    <w:pPr>
      <w:numPr>
        <w:numId w:val="11"/>
      </w:numPr>
      <w:shd w:val="clear" w:color="auto" w:fill="FFFFFF"/>
      <w:tabs>
        <w:tab w:val="right" w:pos="1701"/>
      </w:tabs>
      <w:spacing w:before="60" w:line="212" w:lineRule="exact"/>
      <w:ind w:right="6"/>
      <w:jc w:val="both"/>
    </w:pPr>
    <w:rPr>
      <w:rFonts w:ascii="Times New Roman" w:hAnsi="Times New Roman"/>
      <w:snapToGrid/>
      <w:color w:val="000000"/>
      <w:sz w:val="22"/>
      <w:lang w:eastAsia="en-GB"/>
    </w:rPr>
  </w:style>
  <w:style w:type="character" w:styleId="Refdenotaalfinal">
    <w:name w:val="endnote reference"/>
    <w:semiHidden/>
    <w:rsid w:val="0047783A"/>
    <w:rPr>
      <w:vertAlign w:val="superscript"/>
    </w:rPr>
  </w:style>
  <w:style w:type="paragraph" w:styleId="Textonotaalfinal">
    <w:name w:val="endnote text"/>
    <w:basedOn w:val="Normal"/>
    <w:semiHidden/>
    <w:rsid w:val="0047783A"/>
  </w:style>
  <w:style w:type="paragraph" w:customStyle="1" w:styleId="NormalInd1">
    <w:name w:val="Normal Ind 1"/>
    <w:basedOn w:val="Normal"/>
    <w:rsid w:val="0047783A"/>
    <w:pPr>
      <w:tabs>
        <w:tab w:val="left" w:pos="2268"/>
      </w:tabs>
      <w:overflowPunct w:val="0"/>
      <w:autoSpaceDE w:val="0"/>
      <w:autoSpaceDN w:val="0"/>
      <w:adjustRightInd w:val="0"/>
      <w:spacing w:before="0" w:after="0"/>
      <w:ind w:left="567"/>
      <w:textAlignment w:val="baseline"/>
    </w:pPr>
    <w:rPr>
      <w:rFonts w:ascii="Times New Roman" w:hAnsi="Times New Roman"/>
      <w:bCs/>
      <w:snapToGrid/>
      <w:sz w:val="22"/>
      <w:szCs w:val="22"/>
    </w:rPr>
  </w:style>
  <w:style w:type="character" w:customStyle="1" w:styleId="Style11pt">
    <w:name w:val="Style 11 pt"/>
    <w:rsid w:val="0047783A"/>
    <w:rPr>
      <w:sz w:val="22"/>
    </w:rPr>
  </w:style>
  <w:style w:type="paragraph" w:customStyle="1" w:styleId="Char2">
    <w:name w:val="Char2"/>
    <w:basedOn w:val="Normal"/>
    <w:rsid w:val="0047783A"/>
    <w:pPr>
      <w:spacing w:before="0" w:after="160" w:line="240" w:lineRule="exact"/>
    </w:pPr>
    <w:rPr>
      <w:rFonts w:ascii="Tahoma" w:hAnsi="Tahoma"/>
      <w:snapToGrid/>
    </w:rPr>
  </w:style>
  <w:style w:type="character" w:styleId="Refdecomentario">
    <w:name w:val="annotation reference"/>
    <w:rsid w:val="00EE23B1"/>
    <w:rPr>
      <w:sz w:val="16"/>
      <w:szCs w:val="16"/>
    </w:rPr>
  </w:style>
  <w:style w:type="paragraph" w:styleId="Textocomentario">
    <w:name w:val="annotation text"/>
    <w:basedOn w:val="Normal"/>
    <w:link w:val="TextocomentarioCar"/>
    <w:rsid w:val="00EE23B1"/>
  </w:style>
  <w:style w:type="paragraph" w:styleId="Asuntodelcomentario">
    <w:name w:val="annotation subject"/>
    <w:basedOn w:val="Textocomentario"/>
    <w:next w:val="Textocomentario"/>
    <w:semiHidden/>
    <w:rsid w:val="00EE23B1"/>
    <w:rPr>
      <w:b/>
      <w:bCs/>
    </w:rPr>
  </w:style>
  <w:style w:type="paragraph" w:styleId="Prrafodelista">
    <w:name w:val="List Paragraph"/>
    <w:basedOn w:val="Normal"/>
    <w:uiPriority w:val="34"/>
    <w:qFormat/>
    <w:rsid w:val="009A538A"/>
    <w:pPr>
      <w:spacing w:before="0" w:after="0"/>
      <w:ind w:left="720"/>
    </w:pPr>
    <w:rPr>
      <w:rFonts w:ascii="Calibri" w:eastAsia="Calibri" w:hAnsi="Calibri"/>
      <w:snapToGrid/>
      <w:sz w:val="22"/>
      <w:szCs w:val="22"/>
    </w:rPr>
  </w:style>
  <w:style w:type="paragraph" w:customStyle="1" w:styleId="PRAGHeading2">
    <w:name w:val="PRAG Heading 2"/>
    <w:basedOn w:val="Normal"/>
    <w:rsid w:val="00123EDC"/>
    <w:pPr>
      <w:widowControl w:val="0"/>
      <w:numPr>
        <w:numId w:val="23"/>
      </w:numPr>
      <w:spacing w:before="100" w:after="100"/>
    </w:pPr>
    <w:rPr>
      <w:rFonts w:ascii="Times New Roman" w:hAnsi="Times New Roman"/>
      <w:sz w:val="24"/>
    </w:rPr>
  </w:style>
  <w:style w:type="character" w:customStyle="1" w:styleId="TextocomentarioCar">
    <w:name w:val="Texto comentario Car"/>
    <w:link w:val="Textocomentario"/>
    <w:rsid w:val="00DA4D57"/>
    <w:rPr>
      <w:rFonts w:ascii="Arial" w:hAnsi="Arial"/>
      <w:snapToGrid w:val="0"/>
      <w:lang w:eastAsia="en-US"/>
    </w:rPr>
  </w:style>
  <w:style w:type="paragraph" w:customStyle="1" w:styleId="Text1">
    <w:name w:val="Text 1"/>
    <w:basedOn w:val="Normal"/>
    <w:link w:val="Text1Char"/>
    <w:qFormat/>
    <w:rsid w:val="002156A5"/>
    <w:pPr>
      <w:ind w:left="850"/>
      <w:jc w:val="both"/>
    </w:pPr>
    <w:rPr>
      <w:rFonts w:ascii="Times New Roman" w:eastAsia="Calibri" w:hAnsi="Times New Roman"/>
      <w:snapToGrid/>
      <w:sz w:val="24"/>
      <w:szCs w:val="22"/>
    </w:rPr>
  </w:style>
  <w:style w:type="paragraph" w:customStyle="1" w:styleId="Text2">
    <w:name w:val="Text 2"/>
    <w:basedOn w:val="Normal"/>
    <w:rsid w:val="002156A5"/>
    <w:pPr>
      <w:ind w:left="1417"/>
      <w:jc w:val="both"/>
    </w:pPr>
    <w:rPr>
      <w:rFonts w:ascii="Times New Roman" w:eastAsia="Calibri" w:hAnsi="Times New Roman"/>
      <w:snapToGrid/>
      <w:sz w:val="24"/>
      <w:szCs w:val="22"/>
    </w:rPr>
  </w:style>
  <w:style w:type="paragraph" w:customStyle="1" w:styleId="Numbered">
    <w:name w:val="Numbered"/>
    <w:basedOn w:val="Normal"/>
    <w:link w:val="NumberedChar"/>
    <w:qFormat/>
    <w:rsid w:val="006E1DB1"/>
    <w:pPr>
      <w:numPr>
        <w:numId w:val="27"/>
      </w:numPr>
      <w:spacing w:before="0" w:after="0"/>
      <w:jc w:val="both"/>
    </w:pPr>
    <w:rPr>
      <w:rFonts w:ascii="Times New Roman" w:hAnsi="Times New Roman"/>
      <w:snapToGrid/>
      <w:sz w:val="24"/>
      <w:szCs w:val="24"/>
      <w:lang w:eastAsia="en-GB"/>
    </w:rPr>
  </w:style>
  <w:style w:type="character" w:customStyle="1" w:styleId="NumberedChar">
    <w:name w:val="Numbered Char"/>
    <w:link w:val="Numbered"/>
    <w:rsid w:val="006E1DB1"/>
    <w:rPr>
      <w:sz w:val="24"/>
      <w:szCs w:val="24"/>
    </w:rPr>
  </w:style>
  <w:style w:type="character" w:customStyle="1" w:styleId="Text1Char">
    <w:name w:val="Text 1 Char"/>
    <w:link w:val="Text1"/>
    <w:rsid w:val="0005385E"/>
    <w:rPr>
      <w:rFonts w:eastAsia="Calibri"/>
      <w:sz w:val="24"/>
      <w:szCs w:val="22"/>
      <w:lang w:eastAsia="en-US"/>
    </w:rPr>
  </w:style>
  <w:style w:type="paragraph" w:styleId="Revisin">
    <w:name w:val="Revision"/>
    <w:hidden/>
    <w:uiPriority w:val="99"/>
    <w:semiHidden/>
    <w:rsid w:val="00EA23A7"/>
    <w:rPr>
      <w:rFonts w:ascii="Arial" w:hAnsi="Arial"/>
      <w:snapToGrid w:val="0"/>
      <w:lang w:eastAsia="en-US"/>
    </w:rPr>
  </w:style>
  <w:style w:type="paragraph" w:customStyle="1" w:styleId="paragraph">
    <w:name w:val="paragraph"/>
    <w:basedOn w:val="Normal"/>
    <w:rsid w:val="00A808EF"/>
    <w:pPr>
      <w:spacing w:before="100" w:beforeAutospacing="1" w:after="100" w:afterAutospacing="1"/>
    </w:pPr>
    <w:rPr>
      <w:rFonts w:ascii="Times New Roman" w:hAnsi="Times New Roman"/>
      <w:snapToGrid/>
      <w:sz w:val="24"/>
      <w:szCs w:val="24"/>
      <w:lang w:eastAsia="fr-BE"/>
    </w:rPr>
  </w:style>
  <w:style w:type="character" w:customStyle="1" w:styleId="normaltextrun">
    <w:name w:val="normaltextrun"/>
    <w:rsid w:val="00A808EF"/>
  </w:style>
  <w:style w:type="character" w:styleId="nfasis">
    <w:name w:val="Emphasis"/>
    <w:uiPriority w:val="20"/>
    <w:qFormat/>
    <w:rsid w:val="00A6110F"/>
    <w:rPr>
      <w:i/>
    </w:rPr>
  </w:style>
  <w:style w:type="paragraph" w:styleId="Sinespaciado">
    <w:name w:val="No Spacing"/>
    <w:uiPriority w:val="1"/>
    <w:qFormat/>
    <w:rsid w:val="002B7CBA"/>
    <w:rPr>
      <w:rFonts w:ascii="Arial" w:hAnsi="Arial"/>
      <w:snapToGrid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27060">
      <w:bodyDiv w:val="1"/>
      <w:marLeft w:val="0"/>
      <w:marRight w:val="0"/>
      <w:marTop w:val="0"/>
      <w:marBottom w:val="0"/>
      <w:divBdr>
        <w:top w:val="none" w:sz="0" w:space="0" w:color="auto"/>
        <w:left w:val="none" w:sz="0" w:space="0" w:color="auto"/>
        <w:bottom w:val="none" w:sz="0" w:space="0" w:color="auto"/>
        <w:right w:val="none" w:sz="0" w:space="0" w:color="auto"/>
      </w:divBdr>
    </w:div>
    <w:div w:id="883714209">
      <w:bodyDiv w:val="1"/>
      <w:marLeft w:val="0"/>
      <w:marRight w:val="0"/>
      <w:marTop w:val="0"/>
      <w:marBottom w:val="0"/>
      <w:divBdr>
        <w:top w:val="none" w:sz="0" w:space="0" w:color="auto"/>
        <w:left w:val="none" w:sz="0" w:space="0" w:color="auto"/>
        <w:bottom w:val="none" w:sz="0" w:space="0" w:color="auto"/>
        <w:right w:val="none" w:sz="0" w:space="0" w:color="auto"/>
      </w:divBdr>
    </w:div>
    <w:div w:id="1021279726">
      <w:bodyDiv w:val="1"/>
      <w:marLeft w:val="0"/>
      <w:marRight w:val="0"/>
      <w:marTop w:val="0"/>
      <w:marBottom w:val="0"/>
      <w:divBdr>
        <w:top w:val="none" w:sz="0" w:space="0" w:color="auto"/>
        <w:left w:val="none" w:sz="0" w:space="0" w:color="auto"/>
        <w:bottom w:val="none" w:sz="0" w:space="0" w:color="auto"/>
        <w:right w:val="none" w:sz="0" w:space="0" w:color="auto"/>
      </w:divBdr>
    </w:div>
    <w:div w:id="1639340499">
      <w:bodyDiv w:val="1"/>
      <w:marLeft w:val="0"/>
      <w:marRight w:val="0"/>
      <w:marTop w:val="0"/>
      <w:marBottom w:val="0"/>
      <w:divBdr>
        <w:top w:val="none" w:sz="0" w:space="0" w:color="auto"/>
        <w:left w:val="none" w:sz="0" w:space="0" w:color="auto"/>
        <w:bottom w:val="none" w:sz="0" w:space="0" w:color="auto"/>
        <w:right w:val="none" w:sz="0" w:space="0" w:color="auto"/>
      </w:divBdr>
    </w:div>
    <w:div w:id="1730150643">
      <w:bodyDiv w:val="1"/>
      <w:marLeft w:val="0"/>
      <w:marRight w:val="0"/>
      <w:marTop w:val="0"/>
      <w:marBottom w:val="0"/>
      <w:divBdr>
        <w:top w:val="none" w:sz="0" w:space="0" w:color="auto"/>
        <w:left w:val="none" w:sz="0" w:space="0" w:color="auto"/>
        <w:bottom w:val="none" w:sz="0" w:space="0" w:color="auto"/>
        <w:right w:val="none" w:sz="0" w:space="0" w:color="auto"/>
      </w:divBdr>
    </w:div>
    <w:div w:id="1831753641">
      <w:bodyDiv w:val="1"/>
      <w:marLeft w:val="0"/>
      <w:marRight w:val="0"/>
      <w:marTop w:val="0"/>
      <w:marBottom w:val="0"/>
      <w:divBdr>
        <w:top w:val="none" w:sz="0" w:space="0" w:color="auto"/>
        <w:left w:val="none" w:sz="0" w:space="0" w:color="auto"/>
        <w:bottom w:val="none" w:sz="0" w:space="0" w:color="auto"/>
        <w:right w:val="none" w:sz="0" w:space="0" w:color="auto"/>
      </w:divBdr>
    </w:div>
    <w:div w:id="2021202092">
      <w:bodyDiv w:val="1"/>
      <w:marLeft w:val="0"/>
      <w:marRight w:val="0"/>
      <w:marTop w:val="0"/>
      <w:marBottom w:val="0"/>
      <w:divBdr>
        <w:top w:val="none" w:sz="0" w:space="0" w:color="auto"/>
        <w:left w:val="none" w:sz="0" w:space="0" w:color="auto"/>
        <w:bottom w:val="none" w:sz="0" w:space="0" w:color="auto"/>
        <w:right w:val="none" w:sz="0" w:space="0" w:color="auto"/>
      </w:divBdr>
    </w:div>
    <w:div w:id="2053263702">
      <w:bodyDiv w:val="1"/>
      <w:marLeft w:val="0"/>
      <w:marRight w:val="0"/>
      <w:marTop w:val="0"/>
      <w:marBottom w:val="0"/>
      <w:divBdr>
        <w:top w:val="none" w:sz="0" w:space="0" w:color="auto"/>
        <w:left w:val="none" w:sz="0" w:space="0" w:color="auto"/>
        <w:bottom w:val="none" w:sz="0" w:space="0" w:color="auto"/>
        <w:right w:val="none" w:sz="0" w:space="0" w:color="auto"/>
      </w:divBdr>
    </w:div>
    <w:div w:id="209920576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ikis.ec.europa.eu/display/ExactExternalWikiES/ePRA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yaiza.reid@avexternos.org" TargetMode="External"/><Relationship Id="rId4" Type="http://schemas.openxmlformats.org/officeDocument/2006/relationships/settings" Target="settings.xml"/><Relationship Id="rId9" Type="http://schemas.openxmlformats.org/officeDocument/2006/relationships/hyperlink" Target="https://wikis.ec.europa.eu/display/ExactExternalWikiES/Anexo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3C2D2C-BA2F-4A2C-8F16-72033FD3B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13</Pages>
  <Words>5805</Words>
  <Characters>33091</Characters>
  <Application>Microsoft Office Word</Application>
  <DocSecurity>0</DocSecurity>
  <Lines>275</Lines>
  <Paragraphs>77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INSTRUCTIONS TO TENDERERS</vt:lpstr>
      <vt:lpstr>INSTRUCTIONS TO TENDERERS</vt:lpstr>
    </vt:vector>
  </TitlesOfParts>
  <Company>XXXXXXX</Company>
  <LinksUpToDate>false</LinksUpToDate>
  <CharactersWithSpaces>38819</CharactersWithSpaces>
  <SharedDoc>false</SharedDoc>
  <HLinks>
    <vt:vector size="30" baseType="variant">
      <vt:variant>
        <vt:i4>4784206</vt:i4>
      </vt:variant>
      <vt:variant>
        <vt:i4>6</vt:i4>
      </vt:variant>
      <vt:variant>
        <vt:i4>0</vt:i4>
      </vt:variant>
      <vt:variant>
        <vt:i4>5</vt:i4>
      </vt:variant>
      <vt:variant>
        <vt:lpwstr>https://webgate.ec.europa.eu/europeaid/online-services/index.cfm?do=publi.welcome</vt:lpwstr>
      </vt:variant>
      <vt:variant>
        <vt:lpwstr/>
      </vt:variant>
      <vt:variant>
        <vt:i4>1572957</vt:i4>
      </vt:variant>
      <vt:variant>
        <vt:i4>3</vt:i4>
      </vt:variant>
      <vt:variant>
        <vt:i4>0</vt:i4>
      </vt:variant>
      <vt:variant>
        <vt:i4>5</vt:i4>
      </vt:variant>
      <vt:variant>
        <vt:lpwstr>http://ec.europa.eu/europeaid/prag/annexes.do?group=C</vt:lpwstr>
      </vt:variant>
      <vt:variant>
        <vt:lpwstr/>
      </vt:variant>
      <vt:variant>
        <vt:i4>3670117</vt:i4>
      </vt:variant>
      <vt:variant>
        <vt:i4>0</vt:i4>
      </vt:variant>
      <vt:variant>
        <vt:i4>0</vt:i4>
      </vt:variant>
      <vt:variant>
        <vt:i4>5</vt:i4>
      </vt:variant>
      <vt:variant>
        <vt:lpwstr>http://ec.europa.eu/europeaid/prag/document.do</vt:lpwstr>
      </vt:variant>
      <vt:variant>
        <vt:lpwstr/>
      </vt:variant>
      <vt:variant>
        <vt:i4>2097198</vt:i4>
      </vt:variant>
      <vt:variant>
        <vt:i4>3</vt:i4>
      </vt:variant>
      <vt:variant>
        <vt:i4>0</vt:i4>
      </vt:variant>
      <vt:variant>
        <vt:i4>5</vt:i4>
      </vt:variant>
      <vt:variant>
        <vt:lpwstr>http://www.iccwbo.org/products-and-services/trade-facilitation/incoterms-2010/the-incoterms-rules/</vt:lpwstr>
      </vt:variant>
      <vt:variant>
        <vt:lpwstr/>
      </vt:variant>
      <vt:variant>
        <vt:i4>2097198</vt:i4>
      </vt:variant>
      <vt:variant>
        <vt:i4>0</vt:i4>
      </vt:variant>
      <vt:variant>
        <vt:i4>0</vt:i4>
      </vt:variant>
      <vt:variant>
        <vt:i4>5</vt:i4>
      </vt:variant>
      <vt:variant>
        <vt:lpwstr>http://www.iccwbo.org/products-and-services/trade-facilitation/incoterms-2010/the-incoterms-rules/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XXXXXXX</dc:creator>
  <cp:keywords/>
  <cp:lastModifiedBy>HP</cp:lastModifiedBy>
  <cp:revision>25</cp:revision>
  <cp:lastPrinted>2018-04-13T13:21:00Z</cp:lastPrinted>
  <dcterms:created xsi:type="dcterms:W3CDTF">2024-07-17T17:29:00Z</dcterms:created>
  <dcterms:modified xsi:type="dcterms:W3CDTF">2024-11-05T14:35:00Z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1110239034</vt:i4>
  </property>
  <property fmtid="{D5CDD505-2E9C-101B-9397-08002B2CF9AE}" pid="3" name="_EmailSubject">
    <vt:lpwstr>Suministros/ Traduction</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hecked by">
    <vt:lpwstr>duboile</vt:lpwstr>
  </property>
</Properties>
</file>